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7C2" w:rsidRDefault="00FD67C2">
      <w:pPr>
        <w:pStyle w:val="newncpi0"/>
        <w:jc w:val="center"/>
      </w:pPr>
      <w:r>
        <w:rPr>
          <w:rStyle w:val="name"/>
        </w:rPr>
        <w:t>ПОСТАНОВЛЕНИЕ </w:t>
      </w:r>
      <w:r>
        <w:rPr>
          <w:rStyle w:val="promulgator"/>
        </w:rPr>
        <w:t>СОВЕТА МИНИСТРОВ РЕСПУБЛИКИ БЕЛАРУСЬ</w:t>
      </w:r>
    </w:p>
    <w:p w:rsidR="00FD67C2" w:rsidRDefault="00FD67C2">
      <w:pPr>
        <w:pStyle w:val="newncpi"/>
        <w:ind w:firstLine="0"/>
        <w:jc w:val="center"/>
      </w:pPr>
      <w:r>
        <w:rPr>
          <w:rStyle w:val="datepr"/>
        </w:rPr>
        <w:t>13 апреля 2015 г.</w:t>
      </w:r>
      <w:r>
        <w:rPr>
          <w:rStyle w:val="number"/>
        </w:rPr>
        <w:t xml:space="preserve"> № 296</w:t>
      </w:r>
    </w:p>
    <w:p w:rsidR="00FD67C2" w:rsidRDefault="00FD67C2">
      <w:pPr>
        <w:pStyle w:val="title"/>
      </w:pPr>
      <w:r>
        <w:t>О Государственной программе развития охотничьего хозяйства на 2016–2020 годы</w:t>
      </w:r>
    </w:p>
    <w:p w:rsidR="00FD67C2" w:rsidRDefault="00FD67C2">
      <w:pPr>
        <w:pStyle w:val="preamble"/>
      </w:pPr>
      <w:r>
        <w:t>В соответствии с абзацем вторым пункта 4 Указа Президента Республики Беларусь от 5 декабря 2013 г. № 551 «О внесении изменений и дополнений в указы Президента Республики Беларусь от 8 декабря 2005 г. № 580 и от 26 апреля 2010 г. № 200» Совет Министров Республики Беларусь ПОСТАНОВЛЯЕТ:</w:t>
      </w:r>
    </w:p>
    <w:p w:rsidR="00FD67C2" w:rsidRDefault="00FD67C2">
      <w:pPr>
        <w:pStyle w:val="point"/>
      </w:pPr>
      <w:r>
        <w:t>1. Утвердить прилагаемую Государственную программу развития охотничьего хозяйства на 2016–2020 годы (далее – Государственная программа).</w:t>
      </w:r>
    </w:p>
    <w:p w:rsidR="00FD67C2" w:rsidRDefault="00FD67C2">
      <w:pPr>
        <w:pStyle w:val="point"/>
      </w:pPr>
      <w:r>
        <w:t>2. Определить:</w:t>
      </w:r>
    </w:p>
    <w:p w:rsidR="00FD67C2" w:rsidRDefault="00FD67C2">
      <w:pPr>
        <w:pStyle w:val="newncpi"/>
      </w:pPr>
      <w:r>
        <w:t>заказчиками Государственной программы – Министерство лесного хозяйства, Национальную академию наук Беларуси, облисполкомы;</w:t>
      </w:r>
    </w:p>
    <w:p w:rsidR="00FD67C2" w:rsidRDefault="00FD67C2">
      <w:pPr>
        <w:pStyle w:val="newncpi"/>
      </w:pPr>
      <w:r>
        <w:t>заказчиком – координатором Государственной программы – Министерство лесного хозяйства.</w:t>
      </w:r>
    </w:p>
    <w:p w:rsidR="00FD67C2" w:rsidRDefault="00FD67C2">
      <w:pPr>
        <w:pStyle w:val="point"/>
      </w:pPr>
      <w:r>
        <w:t>3. Министерству лесного хозяйства:</w:t>
      </w:r>
    </w:p>
    <w:p w:rsidR="00FD67C2" w:rsidRDefault="00FD67C2">
      <w:pPr>
        <w:pStyle w:val="newncpi"/>
      </w:pPr>
      <w:r>
        <w:t>обеспечивать координацию деятельности по выполнению Государственной программы;</w:t>
      </w:r>
    </w:p>
    <w:p w:rsidR="00FD67C2" w:rsidRDefault="00FD67C2">
      <w:pPr>
        <w:pStyle w:val="newncpi"/>
      </w:pPr>
      <w:r>
        <w:t>ежегодно представлять отчет о ходе выполнения Государственной программы:</w:t>
      </w:r>
    </w:p>
    <w:p w:rsidR="00FD67C2" w:rsidRDefault="00FD67C2">
      <w:pPr>
        <w:pStyle w:val="newncpi"/>
      </w:pPr>
      <w:r>
        <w:t>до 31 июля отчетного года и до 25 января года, следующего за отчетным, в Государственный комитет по науке и технологиям (в части научного обеспечения или научно-исследовательских, опытно-конструкторских и опытно-технологических работ);</w:t>
      </w:r>
    </w:p>
    <w:p w:rsidR="00FD67C2" w:rsidRDefault="00FD67C2">
      <w:pPr>
        <w:pStyle w:val="newncpi"/>
      </w:pPr>
      <w:r>
        <w:t>до 15 февраля года, следующего за отчетным, в Министерство экономики и Министерство финансов в целях получения заключений о ходе реализации Государственной программы;</w:t>
      </w:r>
    </w:p>
    <w:p w:rsidR="00FD67C2" w:rsidRDefault="00FD67C2">
      <w:pPr>
        <w:pStyle w:val="newncpi"/>
      </w:pPr>
      <w:r>
        <w:t>до 1 марта года, следующего за отчетным, в Совет Министров Республики Беларусь.</w:t>
      </w:r>
    </w:p>
    <w:p w:rsidR="00FD67C2" w:rsidRDefault="00FD67C2">
      <w:pPr>
        <w:pStyle w:val="point"/>
      </w:pPr>
      <w:r>
        <w:t>4. Заказчикам Государственной программы до 10 февраля года, следующего за отчетным, в пределах своей компетенции представлять в Министерство лесного хозяйства отчет о выполнении мероприятий Государственной программы.</w:t>
      </w:r>
    </w:p>
    <w:p w:rsidR="00FD67C2" w:rsidRDefault="00FD67C2">
      <w:pPr>
        <w:pStyle w:val="point"/>
      </w:pPr>
      <w:r>
        <w:t>5. Настоящее постановление вступает в силу после его официального опубликования.</w:t>
      </w:r>
    </w:p>
    <w:p w:rsidR="00FD67C2" w:rsidRDefault="00FD67C2">
      <w:pPr>
        <w:pStyle w:val="newncpi"/>
      </w:pPr>
      <w:r>
        <w:t> </w:t>
      </w:r>
    </w:p>
    <w:tbl>
      <w:tblPr>
        <w:tblStyle w:val="tablencpi"/>
        <w:tblW w:w="5000" w:type="pct"/>
        <w:tblLook w:val="04A0"/>
      </w:tblPr>
      <w:tblGrid>
        <w:gridCol w:w="4701"/>
        <w:gridCol w:w="4697"/>
      </w:tblGrid>
      <w:tr w:rsidR="00FD67C2">
        <w:tc>
          <w:tcPr>
            <w:tcW w:w="2501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FD67C2" w:rsidRDefault="00FD67C2">
            <w:pPr>
              <w:pStyle w:val="newncpi0"/>
              <w:jc w:val="left"/>
            </w:pPr>
            <w:r>
              <w:rPr>
                <w:rStyle w:val="post"/>
              </w:rPr>
              <w:t>Премьер-министр Республики Беларусь</w:t>
            </w:r>
          </w:p>
        </w:tc>
        <w:tc>
          <w:tcPr>
            <w:tcW w:w="2499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FD67C2" w:rsidRDefault="00FD67C2">
            <w:pPr>
              <w:pStyle w:val="newncpi0"/>
              <w:jc w:val="right"/>
            </w:pPr>
            <w:r>
              <w:rPr>
                <w:rStyle w:val="pers"/>
              </w:rPr>
              <w:t>А.Кобяков</w:t>
            </w:r>
          </w:p>
        </w:tc>
      </w:tr>
    </w:tbl>
    <w:p w:rsidR="00FD67C2" w:rsidRDefault="00FD67C2">
      <w:pPr>
        <w:pStyle w:val="newncpi"/>
      </w:pPr>
      <w:r>
        <w:t> </w:t>
      </w:r>
    </w:p>
    <w:tbl>
      <w:tblPr>
        <w:tblStyle w:val="tablencpi"/>
        <w:tblW w:w="5000" w:type="pct"/>
        <w:tblLook w:val="04A0"/>
      </w:tblPr>
      <w:tblGrid>
        <w:gridCol w:w="7048"/>
        <w:gridCol w:w="2350"/>
      </w:tblGrid>
      <w:tr w:rsidR="00FD67C2">
        <w:tc>
          <w:tcPr>
            <w:tcW w:w="375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newncpi"/>
            </w:pPr>
            <w:r>
              <w:t> </w:t>
            </w:r>
          </w:p>
        </w:tc>
        <w:tc>
          <w:tcPr>
            <w:tcW w:w="125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capu1"/>
            </w:pPr>
            <w:r>
              <w:t>УТВЕРЖДЕНО</w:t>
            </w:r>
          </w:p>
          <w:p w:rsidR="00FD67C2" w:rsidRDefault="00FD67C2">
            <w:pPr>
              <w:pStyle w:val="cap1"/>
            </w:pPr>
            <w:r>
              <w:t xml:space="preserve">Постановление </w:t>
            </w:r>
            <w:r>
              <w:br/>
              <w:t xml:space="preserve">Совета Министров </w:t>
            </w:r>
            <w:r>
              <w:br/>
              <w:t>Республики Беларусь</w:t>
            </w:r>
            <w:r>
              <w:br/>
              <w:t>13.04.2015 № 296</w:t>
            </w:r>
          </w:p>
        </w:tc>
      </w:tr>
    </w:tbl>
    <w:p w:rsidR="00FD67C2" w:rsidRDefault="00FD67C2">
      <w:pPr>
        <w:pStyle w:val="titleu"/>
      </w:pPr>
      <w:r>
        <w:t>ГОСУДАРСТВЕННАЯ ПРОГРАММА</w:t>
      </w:r>
      <w:r>
        <w:br/>
        <w:t>развития охотничьего хозяйства на 2016–2020 годы</w:t>
      </w:r>
    </w:p>
    <w:p w:rsidR="00FD67C2" w:rsidRDefault="00FD67C2">
      <w:pPr>
        <w:pStyle w:val="chapter"/>
      </w:pPr>
      <w:r>
        <w:t>ГЛАВА 1</w:t>
      </w:r>
      <w:r>
        <w:br/>
        <w:t>ОБЩИЕ ПОЛОЖЕНИЯ</w:t>
      </w:r>
    </w:p>
    <w:p w:rsidR="00FD67C2" w:rsidRDefault="00FD67C2">
      <w:pPr>
        <w:pStyle w:val="newncpi"/>
      </w:pPr>
      <w:r>
        <w:t>Настоящая Государственная программа разработана на основании Указа Президента Республики Беларусь от 8 декабря 2005 г. № 580 «О некоторых мерах по повышению эффективности ведения охотничьего хозяйства и рыбохозяйственной деятельности, совершенствованию государственного управления ими» (Национальный реестр правовых актов Республики Беларусь, 2005 г., № 196, 1/6996; Национальный правовой Интернет-портал Республики Беларусь, 25.12.2013, 1/14679).</w:t>
      </w:r>
    </w:p>
    <w:p w:rsidR="00FD67C2" w:rsidRDefault="00FD67C2">
      <w:pPr>
        <w:pStyle w:val="chapter"/>
      </w:pPr>
      <w:r>
        <w:t>ГЛАВА 2</w:t>
      </w:r>
      <w:r>
        <w:br/>
        <w:t>ТЕХНИКО-ЭКОНОМИЧЕСКОЕ ОБОСНОВАНИЕ</w:t>
      </w:r>
    </w:p>
    <w:p w:rsidR="00FD67C2" w:rsidRDefault="00FD67C2">
      <w:pPr>
        <w:pStyle w:val="newncpi"/>
      </w:pPr>
      <w:r>
        <w:t>Ведение охотничьего хозяйства в Республике Беларусь – перспективно развивающееся направление деятельности, имеющее социально-культурную и экономическую составляющие.</w:t>
      </w:r>
    </w:p>
    <w:p w:rsidR="00FD67C2" w:rsidRDefault="00FD67C2">
      <w:pPr>
        <w:pStyle w:val="newncpi"/>
      </w:pPr>
      <w:r>
        <w:t>На 1 января 2015 г. площадь арендованных охотничьих угодий Республики Беларусь составила 16,6 млн. га, в том числе лесных – 7,4 млн. га, полевых – 8,2 млн. га, водно-болотных – 1 млн. га. Ведение охотничьего хозяйства осуществляло 253 юридических лица различной подчиненности (далее – пользователи охотничьих угодий), в том числе:</w:t>
      </w:r>
    </w:p>
    <w:p w:rsidR="00FD67C2" w:rsidRDefault="00FD67C2">
      <w:pPr>
        <w:pStyle w:val="newncpi"/>
      </w:pPr>
      <w:r>
        <w:t>103 организационные структуры республиканского государственно-общественного объединения «Белорусское общество охотников и рыболовов» (далее – РГОО «БООР») (аренда 10 млн. га охотничьих угодий, или 59 процентов от их общей площади);</w:t>
      </w:r>
    </w:p>
    <w:p w:rsidR="00FD67C2" w:rsidRDefault="00FD67C2">
      <w:pPr>
        <w:pStyle w:val="newncpi"/>
      </w:pPr>
      <w:r>
        <w:t>81 учреждение Министерства лесного хозяйства (далее – Минлесхоз) (аренда 3,4 млн. га охотничьих угодий, или 21 процента от их общей площади);</w:t>
      </w:r>
    </w:p>
    <w:p w:rsidR="00FD67C2" w:rsidRDefault="00FD67C2">
      <w:pPr>
        <w:pStyle w:val="newncpi"/>
      </w:pPr>
      <w:r>
        <w:t>7 учреждений Управления делами Президента Республики Беларусь (аренда 1,1 млн. га охотничьих угодий, или 7 процентов от их общей площади);</w:t>
      </w:r>
    </w:p>
    <w:p w:rsidR="00FD67C2" w:rsidRDefault="00FD67C2">
      <w:pPr>
        <w:pStyle w:val="newncpi"/>
      </w:pPr>
      <w:r>
        <w:t>производственно-торговое унитарное предприятие «Военохот» (далее – ПТУП «Военохот») (аренда 0,3 млн. га охотничьих угодий, или 2 процентов от их общей площади);</w:t>
      </w:r>
    </w:p>
    <w:p w:rsidR="00FD67C2" w:rsidRDefault="00FD67C2">
      <w:pPr>
        <w:pStyle w:val="newncpi"/>
      </w:pPr>
      <w:r>
        <w:t>61 юридическое лицо без ведомственной подчиненности (прочие пользователи охотничьих угодий) (аренда 1,8 млн. га охотничьих угодий, или 11 процентов от их общей площади).</w:t>
      </w:r>
    </w:p>
    <w:p w:rsidR="00FD67C2" w:rsidRDefault="00FD67C2">
      <w:pPr>
        <w:pStyle w:val="newncpi"/>
      </w:pPr>
      <w:r>
        <w:t>Средняя площадь охотничьих угодий, используемых одним пользователем охотничьих угодий, составляла 65,6 тыс. га, в том числе по ПТУП «Военохот» – 263,1 тыс. га (по обособленным структурным подразделениям ПТУП «Военохот» – 29,2 тыс. га), Управлению делами Президента Республики Беларусь – 155,5 тыс. га, РГОО «БООР» – 97,2 тыс. га, Минлесхозу – 41,8 тыс. га, прочим пользователям охотничьих угодий – 29,4 тыс. га.</w:t>
      </w:r>
    </w:p>
    <w:p w:rsidR="00FD67C2" w:rsidRDefault="00FD67C2">
      <w:pPr>
        <w:pStyle w:val="newncpi"/>
      </w:pPr>
      <w:r>
        <w:t>Перечень охотничьих животных определен в Правилах ведения охотничьего хозяйства и охоты, утвержденных Указом Президента Республики Беларусь от 8 декабря 2005 г. № 580, и состоит из 50 видов, в том числе 12 нормируемых (8 видов копытных животных, 2 вида пушных животных и 2 вида птиц) и 38 ненормируемых (11 видов пушных животных, 27 видов птиц).</w:t>
      </w:r>
    </w:p>
    <w:p w:rsidR="00FD67C2" w:rsidRDefault="00FD67C2">
      <w:pPr>
        <w:pStyle w:val="newncpi"/>
      </w:pPr>
      <w:r>
        <w:t>Наиболее значимыми в экономическом плане для охотничьего хозяйства видами являются лось, олень благородный, косуля.</w:t>
      </w:r>
    </w:p>
    <w:p w:rsidR="00FD67C2" w:rsidRDefault="00FD67C2">
      <w:pPr>
        <w:pStyle w:val="newncpi"/>
      </w:pPr>
      <w:r>
        <w:t>В 2014 году фактическая численность лося в охотничьих угодьях составила 30,1 тыс. особей, оленя благородного – 13,6 тыс. особей, косули – 71,4 тыс. особей, или соответственно 187 процентов, 239 процентов и 140 процентов к уровню 2006 года и 70 процентов, 15 процентов и 44 процента от их оптимальной численности, определенной охотохозяйственным республиканским унитарным предприятием «Белгосохота» в рамках выполнения научно-исследовательских работ в 2011–2013 годах (лось – 43 тыс. особей, олень благородный – 88,5 тыс. особей, косуля – 162 тыс. особей). По сравнению с 2006 годом соотношение фактической и оптимальной численности увеличилось по лосю на 4 процента, по оленю благородному и косуле – на 1 процент.</w:t>
      </w:r>
    </w:p>
    <w:p w:rsidR="00FD67C2" w:rsidRDefault="00FD67C2">
      <w:pPr>
        <w:pStyle w:val="newncpi"/>
      </w:pPr>
      <w:r>
        <w:t>Численность кабана в охотничьих угодьях на 1 апреля 2013 г. составила 80,3 тыс. особей, или 186 процентов к уровню 2006 года и 86 процентов от его оптимальной численности. Однако в целях недопущения распространения вируса африканской чумы свиней численность кабана к 1 апреля 2014 г. снижена до 7,8 тыс. особей (8,3 процента от его оптимальной численности).</w:t>
      </w:r>
    </w:p>
    <w:p w:rsidR="00FD67C2" w:rsidRDefault="00FD67C2">
      <w:pPr>
        <w:pStyle w:val="newncpi"/>
      </w:pPr>
      <w:r>
        <w:t>Численность бобра в 2014 году по сравнению с 2006 годом увеличилась на 21 процент и составила 63,3 тыс. особей при его оптимальной численности 58,7 тыс. особей.</w:t>
      </w:r>
    </w:p>
    <w:p w:rsidR="00FD67C2" w:rsidRDefault="00FD67C2">
      <w:pPr>
        <w:pStyle w:val="newncpi"/>
      </w:pPr>
      <w:r>
        <w:t>Численность глухаря в 2014 году составила 8,2 тыс. особей, тетерева – 39,9 тыс. особей, что соответственно на 11 процентов и 13 процентов меньше, чем в 2006 году.</w:t>
      </w:r>
    </w:p>
    <w:p w:rsidR="00FD67C2" w:rsidRDefault="00FD67C2">
      <w:pPr>
        <w:pStyle w:val="newncpi"/>
      </w:pPr>
      <w:r>
        <w:t>В 2014 году добыча лося составила 3278 особей, оленя благородного – 1149 особей, косули – 6615 особей, кабана – 30 638 особей, бобра – 5959 особей, или соответственно 340 процентов, 179 процентов, 128 процентов, 292 процента, 1375 процентов к уровню 2006 года.</w:t>
      </w:r>
    </w:p>
    <w:p w:rsidR="00FD67C2" w:rsidRDefault="00FD67C2">
      <w:pPr>
        <w:pStyle w:val="newncpi"/>
      </w:pPr>
      <w:r>
        <w:t>С 1000 га охотничьих угодий в Республике Беларусь в 2014 году добыто 0,2 особи лося, 0,1 особи оленя благородного, 0,4 особи косули.</w:t>
      </w:r>
    </w:p>
    <w:p w:rsidR="00FD67C2" w:rsidRDefault="00FD67C2">
      <w:pPr>
        <w:pStyle w:val="newncpi"/>
      </w:pPr>
      <w:r>
        <w:t>Добыча глухаря в 2014 году в Беларуси составила 79 особей, тетерева – 196 особей, что соответственно на 2 процента и 37 процентов меньше, чем в 2006 году.</w:t>
      </w:r>
    </w:p>
    <w:p w:rsidR="00FD67C2" w:rsidRDefault="00FD67C2">
      <w:pPr>
        <w:pStyle w:val="newncpi"/>
      </w:pPr>
      <w:r>
        <w:t>Из-за существенного снижения численности кабана возникла необходимость скорейшего достижения оптимального уровня численности других видов охотничьих животных исходя из конкретных природно-климатических условий каждого региона.</w:t>
      </w:r>
    </w:p>
    <w:p w:rsidR="00FD67C2" w:rsidRDefault="00FD67C2">
      <w:pPr>
        <w:pStyle w:val="newncpi"/>
      </w:pPr>
      <w:r>
        <w:t>Среди ненормируемых видов охотничьих животных наибольший интерес для охотников представляют заяц-беляк, заяц-русак, куница лесная, утки, гуси, вальдшнеп, рябчик, серая куропатка. Наметилась тенденция к снижению численности отдельных ненормируемых видов охотничьих животных. В 2014 году по сравнению с 2006 годом численность зайца-беляка в охотничьих угодьях сократилась на 28 процентов, зайца-русака – на 20 процентов, уток – на 15 процентов, рябчика – на 17 процентов, серой куропатки – на 35 процентов.</w:t>
      </w:r>
    </w:p>
    <w:p w:rsidR="00FD67C2" w:rsidRDefault="00FD67C2">
      <w:pPr>
        <w:pStyle w:val="newncpi"/>
      </w:pPr>
      <w:r>
        <w:t>В 2014 году охотниками добыто 5,8 тыс. особей зайца-беляка, 34,2 тыс. особей зайца-русака, 8,1 тыс. особей куницы лесной, 101,7 тыс. особей уток, 50,9 тыс. особей гусей, 11,1 тыс. особей вальдшнепа, 3,1 тыс. особей рябчика, 3,5 тыс. особей серой куропатки.</w:t>
      </w:r>
    </w:p>
    <w:p w:rsidR="00FD67C2" w:rsidRDefault="00FD67C2">
      <w:pPr>
        <w:pStyle w:val="newncpi"/>
      </w:pPr>
      <w:r>
        <w:t>Отмечается рост численности некоторых видов хищных животных, оказывающих негативное воздействие на популяции наиболее значимых видов охотничьих животных. Повышенная плотность видов хищных животных нежелательна для охотничьего хозяйства также из-за эпизоотической обстановки в отношении вируса бешенства.</w:t>
      </w:r>
    </w:p>
    <w:p w:rsidR="00FD67C2" w:rsidRDefault="00FD67C2">
      <w:pPr>
        <w:pStyle w:val="newncpi"/>
      </w:pPr>
      <w:r>
        <w:t>Численность волка в 2014 году по сравнению с 2006 годом увеличилась на 45 процентов, енотовидной собаки (является инвазивным чужеродным видом) – на 68 процентов, куницы (лесной и каменной) – на 43 процента, рыси – на 113 процентов. Вместе с тем отмечается положительная тенденция к снижению численности лисицы – на 37 процентов.</w:t>
      </w:r>
    </w:p>
    <w:p w:rsidR="00FD67C2" w:rsidRDefault="00FD67C2">
      <w:pPr>
        <w:pStyle w:val="newncpi"/>
      </w:pPr>
      <w:r>
        <w:t>Добыча волка в 2014 году составила 913 особей, что на 48 процентов больше, чем в 2006 году.</w:t>
      </w:r>
    </w:p>
    <w:p w:rsidR="00FD67C2" w:rsidRDefault="00FD67C2">
      <w:pPr>
        <w:pStyle w:val="newncpi"/>
      </w:pPr>
      <w:r>
        <w:t>Емкость охотничьих угодий Республики Беларусь позволяет наращивать численность аборигенных видов (лось, олень благородный, косуля, заяц-русак, заяц-беляк, глухарь, тетерев, серая куропатка), что в дальнейшем позволит увеличить их добычу. Предполагается апробировать вселение нового для условий Республики Беларусь вида – муфлона – и вида, представители которого ранее обитали на территории Беларуси, – лани европейской, что разнообразит охотничью фауну, увеличит продуктивность охотничьих угодий, удовлетворит спрос охотников.</w:t>
      </w:r>
    </w:p>
    <w:p w:rsidR="00FD67C2" w:rsidRDefault="00FD67C2">
      <w:pPr>
        <w:pStyle w:val="newncpi"/>
      </w:pPr>
      <w:r>
        <w:t>На 1 января 2015 г. в Республике Беларусь государственные удостоверения на право охоты имели 120,8 тыс. граждан, что на 1808 больше, чем на 1 января 2014 г.</w:t>
      </w:r>
    </w:p>
    <w:p w:rsidR="00FD67C2" w:rsidRDefault="00FD67C2">
      <w:pPr>
        <w:pStyle w:val="chapter"/>
      </w:pPr>
      <w:r>
        <w:t>ГЛАВА 3</w:t>
      </w:r>
      <w:r>
        <w:br/>
        <w:t>ЦЕЛИ И ЗАДАЧИ РЕАЛИЗАЦИИ НАСТОЯЩЕЙ ГОСУДАРСТВЕННОЙ ПРОГРАММЫ</w:t>
      </w:r>
    </w:p>
    <w:p w:rsidR="00FD67C2" w:rsidRDefault="00FD67C2">
      <w:pPr>
        <w:pStyle w:val="newncpi"/>
      </w:pPr>
      <w:r>
        <w:t>Целями реализации настоящей Государственной программы являются создание условий для максимального удовлетворения потребности граждан в охоте, продукции охоты и связанной с охотой рекреации, развития иностранного охотничьего туризма на основе сохранения естественного продуцирования охотничьих угодий и увеличения их биологического разнообразия путем стимулирования максимальной экологически обоснованной продуктивности популяций охотничьих животных и обеспечение роста поступлений в бюджет за счет повышения эффективности охотохозяйственной деятельности.</w:t>
      </w:r>
    </w:p>
    <w:p w:rsidR="00FD67C2" w:rsidRDefault="00FD67C2">
      <w:pPr>
        <w:pStyle w:val="newncpi"/>
      </w:pPr>
      <w:r>
        <w:t>Для достижения поставленных целей необходимо решение следующих задач:</w:t>
      </w:r>
    </w:p>
    <w:p w:rsidR="00FD67C2" w:rsidRDefault="00FD67C2">
      <w:pPr>
        <w:pStyle w:val="newncpi"/>
      </w:pPr>
      <w:r>
        <w:t>обеспечение роста численности охотничьих животных, в первую очередь копытных (лось, олень, косуля), до оптимального уровня и организация их экологически устойчивого использования;</w:t>
      </w:r>
    </w:p>
    <w:p w:rsidR="00FD67C2" w:rsidRDefault="00FD67C2">
      <w:pPr>
        <w:pStyle w:val="newncpi"/>
      </w:pPr>
      <w:r>
        <w:t>обеспечение доступности для граждан Республики Беларусь занятия охотой;</w:t>
      </w:r>
    </w:p>
    <w:p w:rsidR="00FD67C2" w:rsidRDefault="00FD67C2">
      <w:pPr>
        <w:pStyle w:val="newncpi"/>
      </w:pPr>
      <w:r>
        <w:t>повышение заинтересованности охотников в надлежащем осуществлении охраны ресурсов охотничьих животных и качественном проведении биотехнических мероприятий.</w:t>
      </w:r>
    </w:p>
    <w:p w:rsidR="00FD67C2" w:rsidRDefault="00FD67C2">
      <w:pPr>
        <w:pStyle w:val="newncpi"/>
      </w:pPr>
      <w:r>
        <w:t>Задачи и показатели настоящей Государственной программы определены в приложении 1.</w:t>
      </w:r>
    </w:p>
    <w:p w:rsidR="00FD67C2" w:rsidRDefault="00FD67C2">
      <w:pPr>
        <w:pStyle w:val="newncpi"/>
      </w:pPr>
      <w:r>
        <w:t>Реализация мероприятий настоящей Государственной программы согласно приложению 2 будет способствовать созданию благоприятных условий для реализации права граждан на охоту и использование объектов животного мира, повышению эффективности ведения охотничьего хозяйства, росту поступлений в бюджет от ведения охотничьего хозяйства, охоты и предоставления услуг в данной области, обеспечит устойчивое использование ресурсов охотничьих животных.</w:t>
      </w:r>
    </w:p>
    <w:p w:rsidR="00FD67C2" w:rsidRDefault="00FD67C2">
      <w:pPr>
        <w:pStyle w:val="chapter"/>
      </w:pPr>
      <w:r>
        <w:t>ГЛАВА 4</w:t>
      </w:r>
      <w:r>
        <w:br/>
        <w:t>НАУЧНОЕ ОБЕСПЕЧЕНИЕ НАСТОЯЩЕЙ ГОСУДАРСТВЕННОЙ ПРОГРАММЫ</w:t>
      </w:r>
    </w:p>
    <w:p w:rsidR="00FD67C2" w:rsidRDefault="00FD67C2">
      <w:pPr>
        <w:pStyle w:val="newncpi"/>
      </w:pPr>
      <w:r>
        <w:t>Научные исследования и разработки необходимо осуществлять в соответствии с законодательством в целях повышения эффективности охотохозяйственной деятельности по следующим актуальным направлениям:</w:t>
      </w:r>
    </w:p>
    <w:p w:rsidR="00FD67C2" w:rsidRDefault="00FD67C2">
      <w:pPr>
        <w:pStyle w:val="newncpi"/>
      </w:pPr>
      <w:r>
        <w:t>разработка новых, обеспечивающих максимальную точность, технологий учета охотничьих животных;</w:t>
      </w:r>
    </w:p>
    <w:p w:rsidR="00FD67C2" w:rsidRDefault="00FD67C2">
      <w:pPr>
        <w:pStyle w:val="newncpi"/>
      </w:pPr>
      <w:r>
        <w:t>изучение особенностей миграции и состояния популяций охотничьих животных, научно обоснованное управление ими.</w:t>
      </w:r>
    </w:p>
    <w:p w:rsidR="00FD67C2" w:rsidRDefault="00FD67C2">
      <w:pPr>
        <w:pStyle w:val="newncpi"/>
      </w:pPr>
      <w:r>
        <w:t>В рамках указанных направлений предусмотрено выполнение следующих научно-исследовательских работ:</w:t>
      </w:r>
    </w:p>
    <w:p w:rsidR="00FD67C2" w:rsidRDefault="00FD67C2">
      <w:pPr>
        <w:pStyle w:val="newncpi"/>
      </w:pPr>
      <w:r>
        <w:t>разработка и внедрение технологий учета охотничьих животных на основе использования средств фото- и видеофиксации, беспилотных летательных аппаратов и другого, а также иных форм контроля за состоянием используемых ресурсов охотничьих животных;</w:t>
      </w:r>
    </w:p>
    <w:p w:rsidR="00FD67C2" w:rsidRDefault="00FD67C2">
      <w:pPr>
        <w:pStyle w:val="newncpi"/>
      </w:pPr>
      <w:r>
        <w:t>разработка методики планирования изъятия охотничьих животных нормируемых видов на основе динамики их изъятия в предыдущие годы;</w:t>
      </w:r>
    </w:p>
    <w:p w:rsidR="00FD67C2" w:rsidRDefault="00FD67C2">
      <w:pPr>
        <w:pStyle w:val="newncpi"/>
      </w:pPr>
      <w:r>
        <w:t>исследование особенностей миграции и состояния популяций лося, оленя благородного, косули, кабана, бобра, глухаря и тетерева, в том числе степени влияния хищников на их продуктивность, и подготовка планов управления такими популяциями.</w:t>
      </w:r>
    </w:p>
    <w:p w:rsidR="00FD67C2" w:rsidRDefault="00FD67C2">
      <w:pPr>
        <w:pStyle w:val="chapter"/>
      </w:pPr>
      <w:r>
        <w:t>ГЛАВА 5</w:t>
      </w:r>
      <w:r>
        <w:br/>
        <w:t>РЕСУРСНОЕ ОБЕСПЕЧЕНИЕ НАСТОЯЩЕЙ ГОСУДАРСТВЕННОЙ ПРОГРАММЫ</w:t>
      </w:r>
    </w:p>
    <w:p w:rsidR="00FD67C2" w:rsidRDefault="00FD67C2">
      <w:pPr>
        <w:pStyle w:val="newncpi"/>
      </w:pPr>
      <w:r>
        <w:t>Финансирование мероприятий настоящей Государственной программы согласно приложению 3 будет осуществляться за счет средств республиканского бюджета, предусмотренных на научную и научно-техническую деятельность, средств местных бюджетов, инвестиционного фонда Минлесхоза и собственных средств государственного природоохранного учреждения «Республиканский ландшафтный заказник «Налибокский», пользователей охотничьих угодий и организаций – исполнителей научных мероприятий.</w:t>
      </w:r>
    </w:p>
    <w:p w:rsidR="00FD67C2" w:rsidRDefault="00FD67C2">
      <w:pPr>
        <w:pStyle w:val="newncpi"/>
      </w:pPr>
      <w:r>
        <w:t>Объемы финансирования мероприятий настоящей Государственной программы:</w:t>
      </w:r>
    </w:p>
    <w:p w:rsidR="00FD67C2" w:rsidRDefault="00FD67C2">
      <w:pPr>
        <w:pStyle w:val="newncpi"/>
      </w:pPr>
      <w:r>
        <w:t>за счет средств республиканского и местных бюджетов ежегодно уточняются при формировании соответствующих бюджетов;</w:t>
      </w:r>
    </w:p>
    <w:p w:rsidR="00FD67C2" w:rsidRDefault="00FD67C2">
      <w:pPr>
        <w:pStyle w:val="newncpi"/>
      </w:pPr>
      <w:r>
        <w:t>за счет собственных средств пользователей охотничьих угодий могут уточняться исполнителями по согласованию с заказчиками настоящей Государственной программы;</w:t>
      </w:r>
    </w:p>
    <w:p w:rsidR="00FD67C2" w:rsidRDefault="00FD67C2">
      <w:pPr>
        <w:pStyle w:val="newncpi"/>
      </w:pPr>
      <w:r>
        <w:t>в рамках научных заданий подлежат уточнению по результатам проведения государственной научно-технической экспертизы их проектов.</w:t>
      </w:r>
    </w:p>
    <w:p w:rsidR="00FD67C2" w:rsidRDefault="00FD67C2">
      <w:pPr>
        <w:pStyle w:val="chapter"/>
      </w:pPr>
      <w:r>
        <w:t>ГЛАВА 6</w:t>
      </w:r>
      <w:r>
        <w:br/>
        <w:t>ЭФФЕКТИВНОСТЬ РЕАЛИЗАЦИИ НАСТОЯЩЕЙ ГОСУДАРСТВЕННОЙ ПРОГРАММЫ</w:t>
      </w:r>
    </w:p>
    <w:p w:rsidR="00FD67C2" w:rsidRDefault="00FD67C2">
      <w:pPr>
        <w:pStyle w:val="newncpi"/>
      </w:pPr>
      <w:r>
        <w:t>Об эффективности реализации настоящей Государственной программы будут свидетельствовать технические показатели согласно приложению 4.</w:t>
      </w:r>
    </w:p>
    <w:p w:rsidR="00FD67C2" w:rsidRDefault="00FD67C2">
      <w:pPr>
        <w:pStyle w:val="newncpi"/>
      </w:pPr>
      <w:r>
        <w:t>В результате выполнения настоящей Государственной программы будут созданы необходимые условия для реализации частной инициативы, повышения предпринимательской активности пользователей охотничьих угодий и увеличения заинтересованности охотников в устойчивом использовании ресурсов охотничьих животных.</w:t>
      </w:r>
    </w:p>
    <w:p w:rsidR="00FD67C2" w:rsidRDefault="00FD67C2">
      <w:pPr>
        <w:pStyle w:val="newncpi"/>
      </w:pPr>
      <w:r>
        <w:t> </w:t>
      </w:r>
    </w:p>
    <w:p w:rsidR="00FD67C2" w:rsidRDefault="00FD67C2">
      <w:pPr>
        <w:rPr>
          <w:rFonts w:eastAsia="Times New Roman"/>
        </w:rPr>
        <w:sectPr w:rsidR="00FD67C2" w:rsidSect="00FD67C2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4" w:right="1120" w:bottom="1134" w:left="1400" w:header="560" w:footer="180" w:gutter="0"/>
          <w:cols w:space="708"/>
          <w:titlePg/>
          <w:docGrid w:linePitch="360"/>
        </w:sectPr>
      </w:pPr>
    </w:p>
    <w:p w:rsidR="00FD67C2" w:rsidRDefault="00FD67C2">
      <w:pPr>
        <w:pStyle w:val="newncpi"/>
      </w:pPr>
      <w:r>
        <w:t> </w:t>
      </w:r>
    </w:p>
    <w:tbl>
      <w:tblPr>
        <w:tblStyle w:val="tablencpi"/>
        <w:tblW w:w="5000" w:type="pct"/>
        <w:tblLook w:val="04A0"/>
      </w:tblPr>
      <w:tblGrid>
        <w:gridCol w:w="13691"/>
        <w:gridCol w:w="2530"/>
      </w:tblGrid>
      <w:tr w:rsidR="00FD67C2">
        <w:tc>
          <w:tcPr>
            <w:tcW w:w="422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newncpi"/>
              <w:ind w:firstLine="0"/>
            </w:pPr>
            <w:r>
              <w:t> </w:t>
            </w:r>
          </w:p>
        </w:tc>
        <w:tc>
          <w:tcPr>
            <w:tcW w:w="7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append1"/>
            </w:pPr>
            <w:r>
              <w:t>Приложение 1</w:t>
            </w:r>
          </w:p>
          <w:p w:rsidR="00FD67C2" w:rsidRDefault="00FD67C2">
            <w:pPr>
              <w:pStyle w:val="append"/>
            </w:pPr>
            <w:r>
              <w:t xml:space="preserve">к Государственной </w:t>
            </w:r>
            <w:r>
              <w:br/>
              <w:t xml:space="preserve">программе развития </w:t>
            </w:r>
            <w:r>
              <w:br/>
              <w:t xml:space="preserve">охотничьего хозяйства </w:t>
            </w:r>
            <w:r>
              <w:br/>
              <w:t>на 2016–2020 годы</w:t>
            </w:r>
          </w:p>
        </w:tc>
      </w:tr>
    </w:tbl>
    <w:p w:rsidR="00FD67C2" w:rsidRDefault="00FD67C2">
      <w:pPr>
        <w:pStyle w:val="titlep"/>
        <w:jc w:val="left"/>
      </w:pPr>
      <w:r>
        <w:t>Задачи и показатели Государственной программы развития охотничьего хозяйства на 2016–2020 годы</w:t>
      </w:r>
    </w:p>
    <w:tbl>
      <w:tblPr>
        <w:tblStyle w:val="tablencpi"/>
        <w:tblW w:w="5000" w:type="pct"/>
        <w:tblLook w:val="04A0"/>
      </w:tblPr>
      <w:tblGrid>
        <w:gridCol w:w="4326"/>
        <w:gridCol w:w="4801"/>
        <w:gridCol w:w="1440"/>
        <w:gridCol w:w="1080"/>
        <w:gridCol w:w="1080"/>
        <w:gridCol w:w="1074"/>
        <w:gridCol w:w="1197"/>
        <w:gridCol w:w="1223"/>
      </w:tblGrid>
      <w:tr w:rsidR="00FD67C2">
        <w:trPr>
          <w:trHeight w:val="238"/>
        </w:trPr>
        <w:tc>
          <w:tcPr>
            <w:tcW w:w="1333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Задачи Государственной программы</w:t>
            </w:r>
          </w:p>
        </w:tc>
        <w:tc>
          <w:tcPr>
            <w:tcW w:w="14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Показатели Государственной программы</w:t>
            </w:r>
          </w:p>
        </w:tc>
        <w:tc>
          <w:tcPr>
            <w:tcW w:w="4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Единица измерения</w:t>
            </w:r>
          </w:p>
        </w:tc>
        <w:tc>
          <w:tcPr>
            <w:tcW w:w="174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Значение показателя по годам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2016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2017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2018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2019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2020</w:t>
            </w:r>
          </w:p>
        </w:tc>
      </w:tr>
      <w:tr w:rsidR="00FD67C2">
        <w:trPr>
          <w:trHeight w:val="238"/>
        </w:trPr>
        <w:tc>
          <w:tcPr>
            <w:tcW w:w="1333" w:type="pct"/>
            <w:vMerge w:val="restar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1. Обеспечение роста численности охотничьих животных, в первую очередь копытных (лось, олень благородный, косуля), до оптимального уровня и организация их экологически устойчивого использования</w:t>
            </w:r>
          </w:p>
        </w:tc>
        <w:tc>
          <w:tcPr>
            <w:tcW w:w="1480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соотношение фактической численности охотничьих животных и их оптимальной численности:</w:t>
            </w:r>
          </w:p>
        </w:tc>
        <w:tc>
          <w:tcPr>
            <w:tcW w:w="444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процентов</w:t>
            </w:r>
          </w:p>
        </w:tc>
        <w:tc>
          <w:tcPr>
            <w:tcW w:w="333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33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31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69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77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14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лось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3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77</w:t>
            </w:r>
          </w:p>
        </w:tc>
        <w:tc>
          <w:tcPr>
            <w:tcW w:w="33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85</w:t>
            </w:r>
          </w:p>
        </w:tc>
        <w:tc>
          <w:tcPr>
            <w:tcW w:w="3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93</w:t>
            </w:r>
          </w:p>
        </w:tc>
        <w:tc>
          <w:tcPr>
            <w:tcW w:w="36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100</w:t>
            </w:r>
          </w:p>
        </w:tc>
        <w:tc>
          <w:tcPr>
            <w:tcW w:w="37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100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14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олень благородный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3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17</w:t>
            </w:r>
          </w:p>
        </w:tc>
        <w:tc>
          <w:tcPr>
            <w:tcW w:w="33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19</w:t>
            </w:r>
          </w:p>
        </w:tc>
        <w:tc>
          <w:tcPr>
            <w:tcW w:w="3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21</w:t>
            </w:r>
          </w:p>
        </w:tc>
        <w:tc>
          <w:tcPr>
            <w:tcW w:w="36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23</w:t>
            </w:r>
          </w:p>
        </w:tc>
        <w:tc>
          <w:tcPr>
            <w:tcW w:w="37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25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14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косуля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3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49</w:t>
            </w:r>
          </w:p>
        </w:tc>
        <w:tc>
          <w:tcPr>
            <w:tcW w:w="33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51</w:t>
            </w:r>
          </w:p>
        </w:tc>
        <w:tc>
          <w:tcPr>
            <w:tcW w:w="3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53</w:t>
            </w:r>
          </w:p>
        </w:tc>
        <w:tc>
          <w:tcPr>
            <w:tcW w:w="36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55</w:t>
            </w:r>
          </w:p>
        </w:tc>
        <w:tc>
          <w:tcPr>
            <w:tcW w:w="37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57</w:t>
            </w:r>
          </w:p>
        </w:tc>
      </w:tr>
      <w:tr w:rsidR="00FD67C2">
        <w:trPr>
          <w:trHeight w:val="238"/>
        </w:trPr>
        <w:tc>
          <w:tcPr>
            <w:tcW w:w="133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2. Обеспечение доступности для граждан Республики Беларусь занятия охотой</w:t>
            </w:r>
          </w:p>
        </w:tc>
        <w:tc>
          <w:tcPr>
            <w:tcW w:w="14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количество граждан, приобретающих право на охоту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человек</w:t>
            </w:r>
          </w:p>
        </w:tc>
        <w:tc>
          <w:tcPr>
            <w:tcW w:w="33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2 000</w:t>
            </w:r>
          </w:p>
        </w:tc>
        <w:tc>
          <w:tcPr>
            <w:tcW w:w="33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2 200</w:t>
            </w:r>
          </w:p>
        </w:tc>
        <w:tc>
          <w:tcPr>
            <w:tcW w:w="3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2 500</w:t>
            </w:r>
          </w:p>
        </w:tc>
        <w:tc>
          <w:tcPr>
            <w:tcW w:w="36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2 900</w:t>
            </w:r>
          </w:p>
        </w:tc>
        <w:tc>
          <w:tcPr>
            <w:tcW w:w="37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3 500</w:t>
            </w:r>
          </w:p>
        </w:tc>
      </w:tr>
      <w:tr w:rsidR="00FD67C2">
        <w:trPr>
          <w:trHeight w:val="238"/>
        </w:trPr>
        <w:tc>
          <w:tcPr>
            <w:tcW w:w="1333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3. Повышение заинтересованности охотников в надлежащем осуществлении охраны ресурсов охотничьих животных и качественном проведении биотехнических мероприятий</w:t>
            </w:r>
          </w:p>
        </w:tc>
        <w:tc>
          <w:tcPr>
            <w:tcW w:w="1480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поступления в бюджет от ведения охотничьего хозяйства, организации охоты и предоставления услуг в данной области</w:t>
            </w:r>
          </w:p>
        </w:tc>
        <w:tc>
          <w:tcPr>
            <w:tcW w:w="444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млн. рублей</w:t>
            </w:r>
          </w:p>
        </w:tc>
        <w:tc>
          <w:tcPr>
            <w:tcW w:w="333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10 800</w:t>
            </w:r>
          </w:p>
        </w:tc>
        <w:tc>
          <w:tcPr>
            <w:tcW w:w="333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12 600</w:t>
            </w:r>
          </w:p>
        </w:tc>
        <w:tc>
          <w:tcPr>
            <w:tcW w:w="331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15 110</w:t>
            </w:r>
          </w:p>
        </w:tc>
        <w:tc>
          <w:tcPr>
            <w:tcW w:w="369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18 100</w:t>
            </w:r>
          </w:p>
        </w:tc>
        <w:tc>
          <w:tcPr>
            <w:tcW w:w="377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21 770</w:t>
            </w:r>
          </w:p>
        </w:tc>
      </w:tr>
    </w:tbl>
    <w:p w:rsidR="00FD67C2" w:rsidRDefault="00FD67C2">
      <w:pPr>
        <w:pStyle w:val="newncpi"/>
      </w:pPr>
      <w:r>
        <w:t> </w:t>
      </w:r>
    </w:p>
    <w:tbl>
      <w:tblPr>
        <w:tblStyle w:val="tablencpi"/>
        <w:tblW w:w="5000" w:type="pct"/>
        <w:tblLook w:val="04A0"/>
      </w:tblPr>
      <w:tblGrid>
        <w:gridCol w:w="13691"/>
        <w:gridCol w:w="2530"/>
      </w:tblGrid>
      <w:tr w:rsidR="00FD67C2">
        <w:tc>
          <w:tcPr>
            <w:tcW w:w="422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newncpi"/>
              <w:ind w:firstLine="0"/>
            </w:pPr>
            <w:r>
              <w:t> </w:t>
            </w:r>
          </w:p>
        </w:tc>
        <w:tc>
          <w:tcPr>
            <w:tcW w:w="7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append1"/>
            </w:pPr>
            <w:r>
              <w:t>Приложение 2</w:t>
            </w:r>
          </w:p>
          <w:p w:rsidR="00FD67C2" w:rsidRDefault="00FD67C2">
            <w:pPr>
              <w:pStyle w:val="append"/>
            </w:pPr>
            <w:r>
              <w:t xml:space="preserve">к Государственной </w:t>
            </w:r>
            <w:r>
              <w:br/>
              <w:t xml:space="preserve">программе развития </w:t>
            </w:r>
            <w:r>
              <w:br/>
              <w:t xml:space="preserve">охотничьего хозяйства </w:t>
            </w:r>
            <w:r>
              <w:br/>
              <w:t>на 2016–2020 годы</w:t>
            </w:r>
          </w:p>
        </w:tc>
      </w:tr>
    </w:tbl>
    <w:p w:rsidR="00FD67C2" w:rsidRDefault="00FD67C2">
      <w:pPr>
        <w:pStyle w:val="titlep"/>
        <w:jc w:val="left"/>
      </w:pPr>
      <w:r>
        <w:t>Мероприятия Государственной программы развития охотничьего хозяйства на 2016–2020 годы</w:t>
      </w:r>
    </w:p>
    <w:tbl>
      <w:tblPr>
        <w:tblStyle w:val="tablencpi"/>
        <w:tblW w:w="5000" w:type="pct"/>
        <w:tblLook w:val="04A0"/>
      </w:tblPr>
      <w:tblGrid>
        <w:gridCol w:w="4147"/>
        <w:gridCol w:w="1441"/>
        <w:gridCol w:w="1898"/>
        <w:gridCol w:w="2663"/>
        <w:gridCol w:w="1012"/>
        <w:gridCol w:w="1012"/>
        <w:gridCol w:w="1012"/>
        <w:gridCol w:w="1012"/>
        <w:gridCol w:w="1012"/>
        <w:gridCol w:w="1012"/>
      </w:tblGrid>
      <w:tr w:rsidR="00FD67C2">
        <w:trPr>
          <w:trHeight w:val="238"/>
        </w:trPr>
        <w:tc>
          <w:tcPr>
            <w:tcW w:w="1278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Наименование мероприятий</w:t>
            </w:r>
          </w:p>
        </w:tc>
        <w:tc>
          <w:tcPr>
            <w:tcW w:w="4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Срок выполнения, годы</w:t>
            </w:r>
          </w:p>
        </w:tc>
        <w:tc>
          <w:tcPr>
            <w:tcW w:w="5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Заказчики</w:t>
            </w:r>
          </w:p>
        </w:tc>
        <w:tc>
          <w:tcPr>
            <w:tcW w:w="8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Источники финансирования</w:t>
            </w:r>
          </w:p>
        </w:tc>
        <w:tc>
          <w:tcPr>
            <w:tcW w:w="187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Объемы финансирования, млн. рублей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всего</w:t>
            </w:r>
          </w:p>
        </w:tc>
        <w:tc>
          <w:tcPr>
            <w:tcW w:w="156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в том числе по годам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2016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2017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2018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2019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2020</w:t>
            </w:r>
          </w:p>
        </w:tc>
      </w:tr>
      <w:tr w:rsidR="00FD67C2">
        <w:trPr>
          <w:trHeight w:val="238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Обеспечение роста численности охотничьих животных, в первую очередь копытных (лось, олень благородный, косуля), до оптимального уровня и организация их экологически устойчивого использования</w:t>
            </w:r>
          </w:p>
        </w:tc>
      </w:tr>
      <w:tr w:rsidR="00FD67C2">
        <w:trPr>
          <w:trHeight w:val="238"/>
        </w:trPr>
        <w:tc>
          <w:tcPr>
            <w:tcW w:w="12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1. Обеспечение функционирования на базе ГПУ «РЛЗ «Налибокский» центра по воспроизводству оленьих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2016–2020</w:t>
            </w:r>
          </w:p>
        </w:tc>
        <w:tc>
          <w:tcPr>
            <w:tcW w:w="5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Минлесхоз</w:t>
            </w:r>
          </w:p>
        </w:tc>
        <w:tc>
          <w:tcPr>
            <w:tcW w:w="82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собственные средства ГПУ «РЛЗ «Налибокский»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870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150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160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170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190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200</w:t>
            </w:r>
          </w:p>
        </w:tc>
      </w:tr>
      <w:tr w:rsidR="00FD67C2">
        <w:trPr>
          <w:trHeight w:val="238"/>
        </w:trPr>
        <w:tc>
          <w:tcPr>
            <w:tcW w:w="12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2. Расселение охотничьих животных в охотничьих угодьях, в том числе оленя благородного, зайца-русака, кряквы, серой куропатки и других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2016–2020</w:t>
            </w:r>
          </w:p>
        </w:tc>
        <w:tc>
          <w:tcPr>
            <w:tcW w:w="5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облисполкомы, Минский горисполком</w:t>
            </w:r>
          </w:p>
        </w:tc>
        <w:tc>
          <w:tcPr>
            <w:tcW w:w="82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средства местных бюджетов (поступления от уплаты государственной пошлины за предоставление права на охоту)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59 480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8 000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9 600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11 510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13 800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16 570</w:t>
            </w:r>
          </w:p>
        </w:tc>
      </w:tr>
      <w:tr w:rsidR="00FD67C2">
        <w:trPr>
          <w:trHeight w:val="238"/>
        </w:trPr>
        <w:tc>
          <w:tcPr>
            <w:tcW w:w="12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5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82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в том числе: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</w:tr>
      <w:tr w:rsidR="00FD67C2">
        <w:trPr>
          <w:trHeight w:val="238"/>
        </w:trPr>
        <w:tc>
          <w:tcPr>
            <w:tcW w:w="12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5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82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Брестская область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9 650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1 300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1 560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1 870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2 240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2 680</w:t>
            </w:r>
          </w:p>
        </w:tc>
      </w:tr>
      <w:tr w:rsidR="00FD67C2">
        <w:trPr>
          <w:trHeight w:val="238"/>
        </w:trPr>
        <w:tc>
          <w:tcPr>
            <w:tcW w:w="12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5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82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Витебская область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9 650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1 300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1 560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1 870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2 240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2 680</w:t>
            </w:r>
          </w:p>
        </w:tc>
      </w:tr>
      <w:tr w:rsidR="00FD67C2">
        <w:trPr>
          <w:trHeight w:val="238"/>
        </w:trPr>
        <w:tc>
          <w:tcPr>
            <w:tcW w:w="12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5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82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Гомельская область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8 940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1 200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1 440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1 720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2 080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2 500</w:t>
            </w:r>
          </w:p>
        </w:tc>
      </w:tr>
      <w:tr w:rsidR="00FD67C2">
        <w:trPr>
          <w:trHeight w:val="238"/>
        </w:trPr>
        <w:tc>
          <w:tcPr>
            <w:tcW w:w="12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5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82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Гродненская область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6 710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900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1 080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1 300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1 560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1 870</w:t>
            </w:r>
          </w:p>
        </w:tc>
      </w:tr>
      <w:tr w:rsidR="00FD67C2">
        <w:trPr>
          <w:trHeight w:val="238"/>
        </w:trPr>
        <w:tc>
          <w:tcPr>
            <w:tcW w:w="12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5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82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Минская область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9 650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1 300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1 560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1 870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2 240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2 680</w:t>
            </w:r>
          </w:p>
        </w:tc>
      </w:tr>
      <w:tr w:rsidR="00FD67C2">
        <w:trPr>
          <w:trHeight w:val="238"/>
        </w:trPr>
        <w:tc>
          <w:tcPr>
            <w:tcW w:w="12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5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82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Могилевская область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7 440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1 000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1 200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1 440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1 720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2 080</w:t>
            </w:r>
          </w:p>
        </w:tc>
      </w:tr>
      <w:tr w:rsidR="00FD67C2">
        <w:trPr>
          <w:trHeight w:val="238"/>
        </w:trPr>
        <w:tc>
          <w:tcPr>
            <w:tcW w:w="12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5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82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г. Минск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7 440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1 000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1 200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1 440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1 720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2 080</w:t>
            </w:r>
          </w:p>
        </w:tc>
      </w:tr>
      <w:tr w:rsidR="00FD67C2">
        <w:trPr>
          <w:trHeight w:val="238"/>
        </w:trPr>
        <w:tc>
          <w:tcPr>
            <w:tcW w:w="1278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444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585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821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собственные средства пользователей охотничьих угодий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200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100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100</w:t>
            </w:r>
          </w:p>
        </w:tc>
      </w:tr>
      <w:tr w:rsidR="00FD67C2">
        <w:trPr>
          <w:trHeight w:val="238"/>
        </w:trPr>
        <w:tc>
          <w:tcPr>
            <w:tcW w:w="1278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Итого</w:t>
            </w:r>
          </w:p>
        </w:tc>
        <w:tc>
          <w:tcPr>
            <w:tcW w:w="444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585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821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312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59 680</w:t>
            </w:r>
          </w:p>
        </w:tc>
        <w:tc>
          <w:tcPr>
            <w:tcW w:w="312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8 000</w:t>
            </w:r>
          </w:p>
        </w:tc>
        <w:tc>
          <w:tcPr>
            <w:tcW w:w="312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9 600</w:t>
            </w:r>
          </w:p>
        </w:tc>
        <w:tc>
          <w:tcPr>
            <w:tcW w:w="312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11 510</w:t>
            </w:r>
          </w:p>
        </w:tc>
        <w:tc>
          <w:tcPr>
            <w:tcW w:w="312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13 900</w:t>
            </w:r>
          </w:p>
        </w:tc>
        <w:tc>
          <w:tcPr>
            <w:tcW w:w="312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16 670</w:t>
            </w:r>
          </w:p>
        </w:tc>
      </w:tr>
      <w:tr w:rsidR="00FD67C2">
        <w:trPr>
          <w:trHeight w:val="238"/>
        </w:trPr>
        <w:tc>
          <w:tcPr>
            <w:tcW w:w="12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3. Проверка охотоустроительной документации пользователей охотничьих угодий на предмет соответствия данных по оптимальной плотности лося, оленя благородного и косули требованиям законодательства и внесение в нее необходимых изменений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2016</w:t>
            </w:r>
          </w:p>
        </w:tc>
        <w:tc>
          <w:tcPr>
            <w:tcW w:w="5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Минлесхоз</w:t>
            </w:r>
          </w:p>
        </w:tc>
        <w:tc>
          <w:tcPr>
            <w:tcW w:w="82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собственные средства пользователей охотничьих угодий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</w:tr>
      <w:tr w:rsidR="00FD67C2">
        <w:trPr>
          <w:trHeight w:val="238"/>
        </w:trPr>
        <w:tc>
          <w:tcPr>
            <w:tcW w:w="12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4. Разработка технологий учета охотничьих животных на основе использования средств фото- и видеофиксации, беспилотных летательных аппаратов и других новейших технических средств, а также иных форм контроля за состоянием используемых ресурсов охотничьих животных*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2016–2018</w:t>
            </w:r>
          </w:p>
        </w:tc>
        <w:tc>
          <w:tcPr>
            <w:tcW w:w="5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НАН Беларуси</w:t>
            </w:r>
          </w:p>
        </w:tc>
        <w:tc>
          <w:tcPr>
            <w:tcW w:w="82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республиканский бюджет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150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</w:tr>
      <w:tr w:rsidR="00FD67C2">
        <w:trPr>
          <w:trHeight w:val="238"/>
        </w:trPr>
        <w:tc>
          <w:tcPr>
            <w:tcW w:w="12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5. Внедрение технологий учета охотничьих животных на основе использования средств фото- и видеофиксации, беспилотных летательных аппаратов и других новейших технических средств, а также иных форм контроля за состоянием используемых ресурсов охотничьих животных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2016–2018</w:t>
            </w:r>
          </w:p>
        </w:tc>
        <w:tc>
          <w:tcPr>
            <w:tcW w:w="5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»</w:t>
            </w:r>
          </w:p>
        </w:tc>
        <w:tc>
          <w:tcPr>
            <w:tcW w:w="82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собственные средства исполнителя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150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</w:tr>
      <w:tr w:rsidR="00FD67C2">
        <w:trPr>
          <w:trHeight w:val="238"/>
        </w:trPr>
        <w:tc>
          <w:tcPr>
            <w:tcW w:w="1278" w:type="pct"/>
            <w:vMerge w:val="restar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6. Разработка методики планирования изъятия охотничьих животных нормируемых видов на основе динамики их изъятия в предыдущие годы*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2016–2018</w:t>
            </w:r>
          </w:p>
        </w:tc>
        <w:tc>
          <w:tcPr>
            <w:tcW w:w="5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»</w:t>
            </w:r>
          </w:p>
        </w:tc>
        <w:tc>
          <w:tcPr>
            <w:tcW w:w="82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республиканский бюджет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120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40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40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40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444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585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821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собственные средства исполнителя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120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40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40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40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</w:tr>
      <w:tr w:rsidR="00FD67C2">
        <w:trPr>
          <w:trHeight w:val="238"/>
        </w:trPr>
        <w:tc>
          <w:tcPr>
            <w:tcW w:w="1278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Итого</w:t>
            </w:r>
          </w:p>
        </w:tc>
        <w:tc>
          <w:tcPr>
            <w:tcW w:w="444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585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821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312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240</w:t>
            </w:r>
          </w:p>
        </w:tc>
        <w:tc>
          <w:tcPr>
            <w:tcW w:w="312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80</w:t>
            </w:r>
          </w:p>
        </w:tc>
        <w:tc>
          <w:tcPr>
            <w:tcW w:w="312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80</w:t>
            </w:r>
          </w:p>
        </w:tc>
        <w:tc>
          <w:tcPr>
            <w:tcW w:w="312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80</w:t>
            </w:r>
          </w:p>
        </w:tc>
        <w:tc>
          <w:tcPr>
            <w:tcW w:w="312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12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</w:tr>
      <w:tr w:rsidR="00FD67C2">
        <w:trPr>
          <w:trHeight w:val="238"/>
        </w:trPr>
        <w:tc>
          <w:tcPr>
            <w:tcW w:w="1278" w:type="pct"/>
            <w:vMerge w:val="restar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7. Исследование особенностей миграции и состояния популяций лося, оленя благородного, косули, кабана, бобра, глухаря и тетерева, в том числе степени влияния хищников на их продуктивность, и подготовка планов управления такими популяциями*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2016–2020</w:t>
            </w:r>
          </w:p>
        </w:tc>
        <w:tc>
          <w:tcPr>
            <w:tcW w:w="5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НАН Беларуси</w:t>
            </w:r>
          </w:p>
        </w:tc>
        <w:tc>
          <w:tcPr>
            <w:tcW w:w="82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республиканский бюджет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300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50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444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585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821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собственные средства исполнителя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300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50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50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100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50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50</w:t>
            </w:r>
          </w:p>
        </w:tc>
      </w:tr>
      <w:tr w:rsidR="00FD67C2">
        <w:trPr>
          <w:trHeight w:val="238"/>
        </w:trPr>
        <w:tc>
          <w:tcPr>
            <w:tcW w:w="1278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Итого</w:t>
            </w:r>
          </w:p>
        </w:tc>
        <w:tc>
          <w:tcPr>
            <w:tcW w:w="444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585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821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312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600</w:t>
            </w:r>
          </w:p>
        </w:tc>
        <w:tc>
          <w:tcPr>
            <w:tcW w:w="312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100</w:t>
            </w:r>
          </w:p>
        </w:tc>
        <w:tc>
          <w:tcPr>
            <w:tcW w:w="312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100</w:t>
            </w:r>
          </w:p>
        </w:tc>
        <w:tc>
          <w:tcPr>
            <w:tcW w:w="312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200</w:t>
            </w:r>
          </w:p>
        </w:tc>
        <w:tc>
          <w:tcPr>
            <w:tcW w:w="312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100</w:t>
            </w:r>
          </w:p>
        </w:tc>
        <w:tc>
          <w:tcPr>
            <w:tcW w:w="312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100</w:t>
            </w:r>
          </w:p>
        </w:tc>
      </w:tr>
      <w:tr w:rsidR="00FD67C2">
        <w:trPr>
          <w:trHeight w:val="238"/>
        </w:trPr>
        <w:tc>
          <w:tcPr>
            <w:tcW w:w="12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8. Регулирование численности хищных животных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2016–2020</w:t>
            </w:r>
          </w:p>
        </w:tc>
        <w:tc>
          <w:tcPr>
            <w:tcW w:w="5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Минлесхоз</w:t>
            </w:r>
          </w:p>
        </w:tc>
        <w:tc>
          <w:tcPr>
            <w:tcW w:w="82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собственные средства пользователей охотничьих угодий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3 640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600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660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720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790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870</w:t>
            </w:r>
          </w:p>
        </w:tc>
      </w:tr>
      <w:tr w:rsidR="00FD67C2">
        <w:trPr>
          <w:trHeight w:val="238"/>
        </w:trPr>
        <w:tc>
          <w:tcPr>
            <w:tcW w:w="12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9. Повышение квалификации егерей и охотоведов пользователей охотничьих угодий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2016–2020</w:t>
            </w:r>
          </w:p>
        </w:tc>
        <w:tc>
          <w:tcPr>
            <w:tcW w:w="5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»</w:t>
            </w:r>
          </w:p>
        </w:tc>
        <w:tc>
          <w:tcPr>
            <w:tcW w:w="82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»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100</w:t>
            </w:r>
          </w:p>
        </w:tc>
      </w:tr>
      <w:tr w:rsidR="00FD67C2">
        <w:trPr>
          <w:trHeight w:val="238"/>
        </w:trPr>
        <w:tc>
          <w:tcPr>
            <w:tcW w:w="12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10. Укрепление материально-технической базы пользователей охотничьих угодий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2016–2020</w:t>
            </w:r>
          </w:p>
        </w:tc>
        <w:tc>
          <w:tcPr>
            <w:tcW w:w="5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»</w:t>
            </w:r>
          </w:p>
        </w:tc>
        <w:tc>
          <w:tcPr>
            <w:tcW w:w="82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»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6 000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1 000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1 100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1 200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1 300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1 400</w:t>
            </w:r>
          </w:p>
        </w:tc>
      </w:tr>
      <w:tr w:rsidR="00FD67C2">
        <w:trPr>
          <w:trHeight w:val="238"/>
        </w:trPr>
        <w:tc>
          <w:tcPr>
            <w:tcW w:w="5000" w:type="pct"/>
            <w:gridSpan w:val="10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Обеспечение доступности для граждан Республики Беларусь занятия охотой</w:t>
            </w:r>
          </w:p>
        </w:tc>
      </w:tr>
      <w:tr w:rsidR="00FD67C2">
        <w:trPr>
          <w:trHeight w:val="238"/>
        </w:trPr>
        <w:tc>
          <w:tcPr>
            <w:tcW w:w="12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11. Совершенствование программного обеспечения для подготовки граждан к сдаче специального охотничьего экзамена дистанционным способом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2017</w:t>
            </w:r>
          </w:p>
        </w:tc>
        <w:tc>
          <w:tcPr>
            <w:tcW w:w="5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Минлесхоз (УП «Белгосохота»)</w:t>
            </w:r>
          </w:p>
        </w:tc>
        <w:tc>
          <w:tcPr>
            <w:tcW w:w="82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инвестиционный фонд Минлесхоза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40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40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</w:tr>
      <w:tr w:rsidR="00FD67C2">
        <w:trPr>
          <w:trHeight w:val="238"/>
        </w:trPr>
        <w:tc>
          <w:tcPr>
            <w:tcW w:w="12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12. Совершенствование программного обеспечения для ведения реестра охотников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2016–2017</w:t>
            </w:r>
          </w:p>
        </w:tc>
        <w:tc>
          <w:tcPr>
            <w:tcW w:w="5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»</w:t>
            </w:r>
          </w:p>
        </w:tc>
        <w:tc>
          <w:tcPr>
            <w:tcW w:w="82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»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</w:tr>
      <w:tr w:rsidR="00FD67C2">
        <w:trPr>
          <w:trHeight w:val="238"/>
        </w:trPr>
        <w:tc>
          <w:tcPr>
            <w:tcW w:w="5000" w:type="pct"/>
            <w:gridSpan w:val="10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 xml:space="preserve">Повышение заинтересованности охотников в надлежащем осуществлении охраны ресурсов охотничьих животных </w:t>
            </w:r>
            <w:r>
              <w:br/>
              <w:t>и качественном проведении биотехнических мероприятий</w:t>
            </w:r>
          </w:p>
        </w:tc>
      </w:tr>
      <w:tr w:rsidR="00FD67C2">
        <w:trPr>
          <w:trHeight w:val="238"/>
        </w:trPr>
        <w:tc>
          <w:tcPr>
            <w:tcW w:w="12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13. Проведение инвентаризации фонда охотничьих угодий Республики Беларусь и разработка критериев определения целей использования охотничьих угодий (коммерческие, некоммерческие), в том числе: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2016–2017</w:t>
            </w:r>
          </w:p>
        </w:tc>
        <w:tc>
          <w:tcPr>
            <w:tcW w:w="5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Минлесхоз (УП «Белгосохота»), РУП «Белгослес»)</w:t>
            </w:r>
          </w:p>
        </w:tc>
        <w:tc>
          <w:tcPr>
            <w:tcW w:w="82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инвестиционный фонд Минлесхоза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180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90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90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</w:tr>
      <w:tr w:rsidR="00FD67C2">
        <w:trPr>
          <w:trHeight w:val="238"/>
        </w:trPr>
        <w:tc>
          <w:tcPr>
            <w:tcW w:w="12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составление схем размещения охотничьих угодий Брестской, Витебской и Гомельской областей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5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82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90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</w:tr>
      <w:tr w:rsidR="00FD67C2">
        <w:trPr>
          <w:trHeight w:val="238"/>
        </w:trPr>
        <w:tc>
          <w:tcPr>
            <w:tcW w:w="12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составление схем размещения охотничьих угодий Гродненской, Минской и Могилевской областей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5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82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90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</w:tr>
      <w:tr w:rsidR="00FD67C2">
        <w:trPr>
          <w:trHeight w:val="238"/>
        </w:trPr>
        <w:tc>
          <w:tcPr>
            <w:tcW w:w="12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14. Проведение эксперимента по закреплению охотничьих угодий за первичными организациями РГОО «БООР» в целях повышения их заинтересованности в надлежащем осуществлении охраны ресурсов охотничьих животных и качественном проведении биотехнических мероприятий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2018–2020</w:t>
            </w:r>
          </w:p>
        </w:tc>
        <w:tc>
          <w:tcPr>
            <w:tcW w:w="5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облисполкомы</w:t>
            </w:r>
          </w:p>
        </w:tc>
        <w:tc>
          <w:tcPr>
            <w:tcW w:w="82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собственные средства пользователей охотничьих угодий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60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20</w:t>
            </w:r>
          </w:p>
        </w:tc>
      </w:tr>
      <w:tr w:rsidR="00FD67C2">
        <w:trPr>
          <w:trHeight w:val="238"/>
        </w:trPr>
        <w:tc>
          <w:tcPr>
            <w:tcW w:w="1278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15. Разработка методики оценки эффективности охотохозяйственной деятельности пользователей охотничьих угодий в коммерческих и некоммерческих целях</w:t>
            </w:r>
          </w:p>
        </w:tc>
        <w:tc>
          <w:tcPr>
            <w:tcW w:w="444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2016</w:t>
            </w:r>
          </w:p>
        </w:tc>
        <w:tc>
          <w:tcPr>
            <w:tcW w:w="585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Минлесхоз (УП «Белгосохота»)</w:t>
            </w:r>
          </w:p>
        </w:tc>
        <w:tc>
          <w:tcPr>
            <w:tcW w:w="821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инвестиционный фонд Минлесхоза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50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50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1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</w:tr>
      <w:tr w:rsidR="00FD67C2">
        <w:trPr>
          <w:trHeight w:val="238"/>
        </w:trPr>
        <w:tc>
          <w:tcPr>
            <w:tcW w:w="1278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Всего</w:t>
            </w:r>
          </w:p>
        </w:tc>
        <w:tc>
          <w:tcPr>
            <w:tcW w:w="444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585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821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312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72 460</w:t>
            </w:r>
          </w:p>
        </w:tc>
        <w:tc>
          <w:tcPr>
            <w:tcW w:w="312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10 420</w:t>
            </w:r>
          </w:p>
        </w:tc>
        <w:tc>
          <w:tcPr>
            <w:tcW w:w="312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12 080</w:t>
            </w:r>
          </w:p>
        </w:tc>
        <w:tc>
          <w:tcPr>
            <w:tcW w:w="312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14 200</w:t>
            </w:r>
          </w:p>
        </w:tc>
        <w:tc>
          <w:tcPr>
            <w:tcW w:w="312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16 400</w:t>
            </w:r>
          </w:p>
        </w:tc>
        <w:tc>
          <w:tcPr>
            <w:tcW w:w="312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19 360</w:t>
            </w:r>
          </w:p>
        </w:tc>
      </w:tr>
      <w:tr w:rsidR="00FD67C2">
        <w:trPr>
          <w:trHeight w:val="238"/>
        </w:trPr>
        <w:tc>
          <w:tcPr>
            <w:tcW w:w="12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567"/>
            </w:pPr>
            <w:r>
              <w:t>в том числе: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5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82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</w:tr>
      <w:tr w:rsidR="00FD67C2">
        <w:trPr>
          <w:trHeight w:val="238"/>
        </w:trPr>
        <w:tc>
          <w:tcPr>
            <w:tcW w:w="12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567"/>
            </w:pPr>
            <w:r>
              <w:t>собственные средства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5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82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11 940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2 040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2 110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2 500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2 550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2 740</w:t>
            </w:r>
          </w:p>
        </w:tc>
      </w:tr>
      <w:tr w:rsidR="00FD67C2">
        <w:trPr>
          <w:trHeight w:val="238"/>
        </w:trPr>
        <w:tc>
          <w:tcPr>
            <w:tcW w:w="12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567"/>
            </w:pPr>
            <w:r>
              <w:t>инвестиционный фонд Минлесхоза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5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82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470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240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230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</w:tr>
      <w:tr w:rsidR="00FD67C2">
        <w:trPr>
          <w:trHeight w:val="238"/>
        </w:trPr>
        <w:tc>
          <w:tcPr>
            <w:tcW w:w="12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567"/>
            </w:pPr>
            <w:r>
              <w:t>бюджетные средства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5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82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60 050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8 140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9 740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11 700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13 850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16 620</w:t>
            </w:r>
          </w:p>
        </w:tc>
      </w:tr>
      <w:tr w:rsidR="00FD67C2">
        <w:trPr>
          <w:trHeight w:val="238"/>
        </w:trPr>
        <w:tc>
          <w:tcPr>
            <w:tcW w:w="12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851"/>
            </w:pPr>
            <w:r>
              <w:t>из них: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5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82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</w:tr>
      <w:tr w:rsidR="00FD67C2">
        <w:trPr>
          <w:trHeight w:val="238"/>
        </w:trPr>
        <w:tc>
          <w:tcPr>
            <w:tcW w:w="12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851"/>
            </w:pPr>
            <w:r>
              <w:t>средства республиканского бюджета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5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82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570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140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140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190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50</w:t>
            </w:r>
          </w:p>
        </w:tc>
      </w:tr>
      <w:tr w:rsidR="00FD67C2">
        <w:trPr>
          <w:trHeight w:val="238"/>
        </w:trPr>
        <w:tc>
          <w:tcPr>
            <w:tcW w:w="12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851"/>
            </w:pPr>
            <w:r>
              <w:t>средства местных бюджетов (поступления от уплаты государственной пошлины за предоставление права на охоту)</w:t>
            </w:r>
          </w:p>
        </w:tc>
        <w:tc>
          <w:tcPr>
            <w:tcW w:w="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5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82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59 480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8 000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9 600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11 510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13 800</w:t>
            </w:r>
          </w:p>
        </w:tc>
        <w:tc>
          <w:tcPr>
            <w:tcW w:w="31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16 570</w:t>
            </w:r>
          </w:p>
        </w:tc>
      </w:tr>
    </w:tbl>
    <w:p w:rsidR="00FD67C2" w:rsidRDefault="00FD67C2">
      <w:pPr>
        <w:pStyle w:val="newncpi"/>
      </w:pPr>
      <w:r>
        <w:t> </w:t>
      </w:r>
    </w:p>
    <w:p w:rsidR="00FD67C2" w:rsidRDefault="00FD67C2">
      <w:pPr>
        <w:pStyle w:val="snoskiline"/>
      </w:pPr>
      <w:r>
        <w:t>______________________________</w:t>
      </w:r>
    </w:p>
    <w:p w:rsidR="00FD67C2" w:rsidRDefault="00FD67C2">
      <w:pPr>
        <w:pStyle w:val="snoski"/>
        <w:spacing w:after="240"/>
      </w:pPr>
      <w:r>
        <w:t>* В рамках мероприятий по научному обеспечению настоящей Государственной программы. Наименование и объем их финансирования подлежат уточнению по результатам проведения государственной научно-технической экспертизы.</w:t>
      </w:r>
    </w:p>
    <w:tbl>
      <w:tblPr>
        <w:tblStyle w:val="tablencpi"/>
        <w:tblW w:w="5000" w:type="pct"/>
        <w:tblLook w:val="04A0"/>
      </w:tblPr>
      <w:tblGrid>
        <w:gridCol w:w="13691"/>
        <w:gridCol w:w="2530"/>
      </w:tblGrid>
      <w:tr w:rsidR="00FD67C2">
        <w:tc>
          <w:tcPr>
            <w:tcW w:w="422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newncpi"/>
              <w:ind w:firstLine="0"/>
            </w:pPr>
            <w:r>
              <w:t> </w:t>
            </w:r>
          </w:p>
        </w:tc>
        <w:tc>
          <w:tcPr>
            <w:tcW w:w="7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append1"/>
            </w:pPr>
            <w:r>
              <w:t>Приложение 3</w:t>
            </w:r>
          </w:p>
          <w:p w:rsidR="00FD67C2" w:rsidRDefault="00FD67C2">
            <w:pPr>
              <w:pStyle w:val="append"/>
            </w:pPr>
            <w:r>
              <w:t xml:space="preserve">к Государственной </w:t>
            </w:r>
            <w:r>
              <w:br/>
              <w:t xml:space="preserve">программе развития </w:t>
            </w:r>
            <w:r>
              <w:br/>
              <w:t xml:space="preserve">охотничьего хозяйства </w:t>
            </w:r>
            <w:r>
              <w:br/>
              <w:t>на 2016–2020 годы</w:t>
            </w:r>
          </w:p>
        </w:tc>
      </w:tr>
    </w:tbl>
    <w:p w:rsidR="00FD67C2" w:rsidRDefault="00FD67C2">
      <w:pPr>
        <w:pStyle w:val="titlep"/>
        <w:jc w:val="left"/>
      </w:pPr>
      <w:r>
        <w:t>Финансирование мероприятий Государственной программы развития охотничьего хозяйства на 2016–2020 годы</w:t>
      </w:r>
    </w:p>
    <w:tbl>
      <w:tblPr>
        <w:tblStyle w:val="tablencpi"/>
        <w:tblW w:w="5000" w:type="pct"/>
        <w:tblLook w:val="04A0"/>
      </w:tblPr>
      <w:tblGrid>
        <w:gridCol w:w="3226"/>
        <w:gridCol w:w="2547"/>
        <w:gridCol w:w="3085"/>
        <w:gridCol w:w="1226"/>
        <w:gridCol w:w="1226"/>
        <w:gridCol w:w="1226"/>
        <w:gridCol w:w="1226"/>
        <w:gridCol w:w="1226"/>
        <w:gridCol w:w="1233"/>
      </w:tblGrid>
      <w:tr w:rsidR="00FD67C2">
        <w:trPr>
          <w:trHeight w:val="238"/>
        </w:trPr>
        <w:tc>
          <w:tcPr>
            <w:tcW w:w="994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Задачи Государственной программы</w:t>
            </w:r>
          </w:p>
        </w:tc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Заказчики</w:t>
            </w:r>
          </w:p>
        </w:tc>
        <w:tc>
          <w:tcPr>
            <w:tcW w:w="9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Источники финансирования</w:t>
            </w:r>
          </w:p>
        </w:tc>
        <w:tc>
          <w:tcPr>
            <w:tcW w:w="227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Объемы финансирования, млн. рублей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3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всего</w:t>
            </w:r>
          </w:p>
        </w:tc>
        <w:tc>
          <w:tcPr>
            <w:tcW w:w="189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в том числе по годам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2016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2017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2018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2019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2020</w:t>
            </w:r>
          </w:p>
        </w:tc>
      </w:tr>
      <w:tr w:rsidR="00FD67C2">
        <w:trPr>
          <w:trHeight w:val="238"/>
        </w:trPr>
        <w:tc>
          <w:tcPr>
            <w:tcW w:w="994" w:type="pct"/>
            <w:vMerge w:val="restar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1. Обеспечение роста численности охотничьих животных, в первую очередь копытных (лось, олень благородный, косуля), до оптимального уровня и организация их экологически устойчивого использования</w:t>
            </w:r>
          </w:p>
        </w:tc>
        <w:tc>
          <w:tcPr>
            <w:tcW w:w="785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Минлесхоз</w:t>
            </w:r>
          </w:p>
        </w:tc>
        <w:tc>
          <w:tcPr>
            <w:tcW w:w="951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собственные средства ГПУ «РЛЗ «Налибокский»</w:t>
            </w:r>
          </w:p>
        </w:tc>
        <w:tc>
          <w:tcPr>
            <w:tcW w:w="378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870</w:t>
            </w:r>
          </w:p>
        </w:tc>
        <w:tc>
          <w:tcPr>
            <w:tcW w:w="378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150</w:t>
            </w:r>
          </w:p>
        </w:tc>
        <w:tc>
          <w:tcPr>
            <w:tcW w:w="378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160</w:t>
            </w:r>
          </w:p>
        </w:tc>
        <w:tc>
          <w:tcPr>
            <w:tcW w:w="378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170</w:t>
            </w:r>
          </w:p>
        </w:tc>
        <w:tc>
          <w:tcPr>
            <w:tcW w:w="378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190</w:t>
            </w:r>
          </w:p>
        </w:tc>
        <w:tc>
          <w:tcPr>
            <w:tcW w:w="380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200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7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95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собственные средства пользователей охотничьих угодий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10 440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1 800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1 860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2 020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2 290</w:t>
            </w:r>
          </w:p>
        </w:tc>
        <w:tc>
          <w:tcPr>
            <w:tcW w:w="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2 470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785" w:type="pct"/>
            <w:vMerge w:val="restar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облисполкомы и Минский горисполком</w:t>
            </w:r>
          </w:p>
        </w:tc>
        <w:tc>
          <w:tcPr>
            <w:tcW w:w="95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средства местных бюджетов: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59 480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8 000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9 600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11 510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13 800</w:t>
            </w:r>
          </w:p>
        </w:tc>
        <w:tc>
          <w:tcPr>
            <w:tcW w:w="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16 570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95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в том числе: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7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95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Брестская область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9 650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1 300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1 560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1 870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2 240</w:t>
            </w:r>
          </w:p>
        </w:tc>
        <w:tc>
          <w:tcPr>
            <w:tcW w:w="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2 680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7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95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Витебская область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9 650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1 300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1 560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1 870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2 240</w:t>
            </w:r>
          </w:p>
        </w:tc>
        <w:tc>
          <w:tcPr>
            <w:tcW w:w="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2 680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7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95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Гомельская область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8 940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1 200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1 440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1 720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2 080</w:t>
            </w:r>
          </w:p>
        </w:tc>
        <w:tc>
          <w:tcPr>
            <w:tcW w:w="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2 500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7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95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Гродненская область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6 710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900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1 080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1 300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1 560</w:t>
            </w:r>
          </w:p>
        </w:tc>
        <w:tc>
          <w:tcPr>
            <w:tcW w:w="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1 870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7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95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Минская область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9 650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1 300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1 560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1 870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2 240</w:t>
            </w:r>
          </w:p>
        </w:tc>
        <w:tc>
          <w:tcPr>
            <w:tcW w:w="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2 680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7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95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Могилевская область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7 440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1 000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1 200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1 440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1 720</w:t>
            </w:r>
          </w:p>
        </w:tc>
        <w:tc>
          <w:tcPr>
            <w:tcW w:w="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2 080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7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95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г. Минск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7 440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1 000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1 200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1 440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1 720</w:t>
            </w:r>
          </w:p>
        </w:tc>
        <w:tc>
          <w:tcPr>
            <w:tcW w:w="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2 080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7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НАН Беларуси</w:t>
            </w:r>
          </w:p>
        </w:tc>
        <w:tc>
          <w:tcPr>
            <w:tcW w:w="95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республиканский бюджет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570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140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140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190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50</w:t>
            </w:r>
          </w:p>
        </w:tc>
        <w:tc>
          <w:tcPr>
            <w:tcW w:w="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50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785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951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собственные средства организаций – исполнителей научных мероприятий</w:t>
            </w:r>
          </w:p>
        </w:tc>
        <w:tc>
          <w:tcPr>
            <w:tcW w:w="378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570</w:t>
            </w:r>
          </w:p>
        </w:tc>
        <w:tc>
          <w:tcPr>
            <w:tcW w:w="378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140</w:t>
            </w:r>
          </w:p>
        </w:tc>
        <w:tc>
          <w:tcPr>
            <w:tcW w:w="378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140</w:t>
            </w:r>
          </w:p>
        </w:tc>
        <w:tc>
          <w:tcPr>
            <w:tcW w:w="378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190</w:t>
            </w:r>
          </w:p>
        </w:tc>
        <w:tc>
          <w:tcPr>
            <w:tcW w:w="378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50</w:t>
            </w:r>
          </w:p>
        </w:tc>
        <w:tc>
          <w:tcPr>
            <w:tcW w:w="380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50</w:t>
            </w:r>
          </w:p>
        </w:tc>
      </w:tr>
      <w:tr w:rsidR="00FD67C2">
        <w:trPr>
          <w:trHeight w:val="238"/>
        </w:trPr>
        <w:tc>
          <w:tcPr>
            <w:tcW w:w="994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Итого</w:t>
            </w:r>
          </w:p>
        </w:tc>
        <w:tc>
          <w:tcPr>
            <w:tcW w:w="785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951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378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71 930</w:t>
            </w:r>
          </w:p>
        </w:tc>
        <w:tc>
          <w:tcPr>
            <w:tcW w:w="378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10 230</w:t>
            </w:r>
          </w:p>
        </w:tc>
        <w:tc>
          <w:tcPr>
            <w:tcW w:w="378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11 900</w:t>
            </w:r>
          </w:p>
        </w:tc>
        <w:tc>
          <w:tcPr>
            <w:tcW w:w="378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14 080</w:t>
            </w:r>
          </w:p>
        </w:tc>
        <w:tc>
          <w:tcPr>
            <w:tcW w:w="378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16 380</w:t>
            </w:r>
          </w:p>
        </w:tc>
        <w:tc>
          <w:tcPr>
            <w:tcW w:w="380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19 340</w:t>
            </w:r>
          </w:p>
        </w:tc>
      </w:tr>
      <w:tr w:rsidR="00FD67C2">
        <w:trPr>
          <w:trHeight w:val="238"/>
        </w:trPr>
        <w:tc>
          <w:tcPr>
            <w:tcW w:w="99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2. Обеспечение доступности для граждан Республики Беларусь занятия охотой</w:t>
            </w:r>
          </w:p>
        </w:tc>
        <w:tc>
          <w:tcPr>
            <w:tcW w:w="7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Минлесхоз</w:t>
            </w:r>
          </w:p>
        </w:tc>
        <w:tc>
          <w:tcPr>
            <w:tcW w:w="95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инвестиционный фонд Минлесхоза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240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100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140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</w:tr>
      <w:tr w:rsidR="00FD67C2">
        <w:trPr>
          <w:trHeight w:val="238"/>
        </w:trPr>
        <w:tc>
          <w:tcPr>
            <w:tcW w:w="994" w:type="pct"/>
            <w:vMerge w:val="restar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3. Повышение заинтересованности охотников в надлежащем осуществлении охраны ресурсов охотничьих животных и качественном проведении биотехнических мероприятий</w:t>
            </w:r>
          </w:p>
        </w:tc>
        <w:tc>
          <w:tcPr>
            <w:tcW w:w="7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Минлесхоз</w:t>
            </w:r>
          </w:p>
        </w:tc>
        <w:tc>
          <w:tcPr>
            <w:tcW w:w="95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инвестиционный фонд Минлесхоза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230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140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90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785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951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собственные средства пользователей охотничьих угодий</w:t>
            </w:r>
          </w:p>
        </w:tc>
        <w:tc>
          <w:tcPr>
            <w:tcW w:w="378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60</w:t>
            </w:r>
          </w:p>
        </w:tc>
        <w:tc>
          <w:tcPr>
            <w:tcW w:w="378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78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78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20</w:t>
            </w:r>
          </w:p>
        </w:tc>
        <w:tc>
          <w:tcPr>
            <w:tcW w:w="378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20</w:t>
            </w:r>
          </w:p>
        </w:tc>
        <w:tc>
          <w:tcPr>
            <w:tcW w:w="380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20</w:t>
            </w:r>
          </w:p>
        </w:tc>
      </w:tr>
      <w:tr w:rsidR="00FD67C2">
        <w:trPr>
          <w:trHeight w:val="238"/>
        </w:trPr>
        <w:tc>
          <w:tcPr>
            <w:tcW w:w="994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Итого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951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378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290</w:t>
            </w:r>
          </w:p>
        </w:tc>
        <w:tc>
          <w:tcPr>
            <w:tcW w:w="378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140</w:t>
            </w:r>
          </w:p>
        </w:tc>
        <w:tc>
          <w:tcPr>
            <w:tcW w:w="378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90</w:t>
            </w:r>
          </w:p>
        </w:tc>
        <w:tc>
          <w:tcPr>
            <w:tcW w:w="378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20</w:t>
            </w:r>
          </w:p>
        </w:tc>
        <w:tc>
          <w:tcPr>
            <w:tcW w:w="378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20</w:t>
            </w:r>
          </w:p>
        </w:tc>
        <w:tc>
          <w:tcPr>
            <w:tcW w:w="380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20</w:t>
            </w:r>
          </w:p>
        </w:tc>
      </w:tr>
      <w:tr w:rsidR="00FD67C2">
        <w:trPr>
          <w:trHeight w:val="238"/>
        </w:trPr>
        <w:tc>
          <w:tcPr>
            <w:tcW w:w="994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Всего</w:t>
            </w:r>
          </w:p>
        </w:tc>
        <w:tc>
          <w:tcPr>
            <w:tcW w:w="785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951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378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72 460</w:t>
            </w:r>
          </w:p>
        </w:tc>
        <w:tc>
          <w:tcPr>
            <w:tcW w:w="378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10 420</w:t>
            </w:r>
          </w:p>
        </w:tc>
        <w:tc>
          <w:tcPr>
            <w:tcW w:w="378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12 080</w:t>
            </w:r>
          </w:p>
        </w:tc>
        <w:tc>
          <w:tcPr>
            <w:tcW w:w="378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14 200</w:t>
            </w:r>
          </w:p>
        </w:tc>
        <w:tc>
          <w:tcPr>
            <w:tcW w:w="378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16 400</w:t>
            </w:r>
          </w:p>
        </w:tc>
        <w:tc>
          <w:tcPr>
            <w:tcW w:w="380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19 360</w:t>
            </w:r>
          </w:p>
        </w:tc>
      </w:tr>
      <w:tr w:rsidR="00FD67C2">
        <w:trPr>
          <w:trHeight w:val="238"/>
        </w:trPr>
        <w:tc>
          <w:tcPr>
            <w:tcW w:w="99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7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95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в том числе: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</w:tr>
      <w:tr w:rsidR="00FD67C2">
        <w:trPr>
          <w:trHeight w:val="238"/>
        </w:trPr>
        <w:tc>
          <w:tcPr>
            <w:tcW w:w="99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7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95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собственные средства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11 940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2 040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2 110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2 500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2 550</w:t>
            </w:r>
          </w:p>
        </w:tc>
        <w:tc>
          <w:tcPr>
            <w:tcW w:w="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2 740</w:t>
            </w:r>
          </w:p>
        </w:tc>
      </w:tr>
      <w:tr w:rsidR="00FD67C2">
        <w:trPr>
          <w:trHeight w:val="238"/>
        </w:trPr>
        <w:tc>
          <w:tcPr>
            <w:tcW w:w="99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7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95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инвестиционный фонд Минлесхоза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470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240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230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  <w:tc>
          <w:tcPr>
            <w:tcW w:w="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–</w:t>
            </w:r>
          </w:p>
        </w:tc>
      </w:tr>
      <w:tr w:rsidR="00FD67C2">
        <w:trPr>
          <w:trHeight w:val="238"/>
        </w:trPr>
        <w:tc>
          <w:tcPr>
            <w:tcW w:w="99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7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95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бюджетные средства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60 050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8 140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9 740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11 700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13 850</w:t>
            </w:r>
          </w:p>
        </w:tc>
        <w:tc>
          <w:tcPr>
            <w:tcW w:w="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16 620</w:t>
            </w:r>
          </w:p>
        </w:tc>
      </w:tr>
      <w:tr w:rsidR="00FD67C2">
        <w:trPr>
          <w:trHeight w:val="238"/>
        </w:trPr>
        <w:tc>
          <w:tcPr>
            <w:tcW w:w="99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7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95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567"/>
            </w:pPr>
            <w:r>
              <w:t>из них средства: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</w:tr>
      <w:tr w:rsidR="00FD67C2">
        <w:trPr>
          <w:trHeight w:val="238"/>
        </w:trPr>
        <w:tc>
          <w:tcPr>
            <w:tcW w:w="99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7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95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567"/>
            </w:pPr>
            <w:r>
              <w:t>республиканского бюджета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570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140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140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190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50</w:t>
            </w:r>
          </w:p>
        </w:tc>
        <w:tc>
          <w:tcPr>
            <w:tcW w:w="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50</w:t>
            </w:r>
          </w:p>
        </w:tc>
      </w:tr>
      <w:tr w:rsidR="00FD67C2">
        <w:trPr>
          <w:trHeight w:val="238"/>
        </w:trPr>
        <w:tc>
          <w:tcPr>
            <w:tcW w:w="99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78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95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567"/>
            </w:pPr>
            <w:r>
              <w:t>местных бюджетов (поступления от уплаты государственной пошлины за предоставление права на охоту)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59 480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8 000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9 600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11 510</w:t>
            </w:r>
          </w:p>
        </w:tc>
        <w:tc>
          <w:tcPr>
            <w:tcW w:w="3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13 800</w:t>
            </w:r>
          </w:p>
        </w:tc>
        <w:tc>
          <w:tcPr>
            <w:tcW w:w="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16 570</w:t>
            </w:r>
          </w:p>
        </w:tc>
      </w:tr>
    </w:tbl>
    <w:p w:rsidR="00FD67C2" w:rsidRDefault="00FD67C2">
      <w:pPr>
        <w:pStyle w:val="newncpi"/>
      </w:pPr>
      <w:r>
        <w:t> </w:t>
      </w:r>
    </w:p>
    <w:tbl>
      <w:tblPr>
        <w:tblStyle w:val="tablencpi"/>
        <w:tblW w:w="5000" w:type="pct"/>
        <w:tblLook w:val="04A0"/>
      </w:tblPr>
      <w:tblGrid>
        <w:gridCol w:w="13691"/>
        <w:gridCol w:w="2530"/>
      </w:tblGrid>
      <w:tr w:rsidR="00FD67C2">
        <w:tc>
          <w:tcPr>
            <w:tcW w:w="422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newncpi"/>
              <w:ind w:firstLine="0"/>
            </w:pPr>
            <w:r>
              <w:t> </w:t>
            </w:r>
          </w:p>
        </w:tc>
        <w:tc>
          <w:tcPr>
            <w:tcW w:w="7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append1"/>
            </w:pPr>
            <w:r>
              <w:t>Приложение 4</w:t>
            </w:r>
          </w:p>
          <w:p w:rsidR="00FD67C2" w:rsidRDefault="00FD67C2">
            <w:pPr>
              <w:pStyle w:val="append"/>
            </w:pPr>
            <w:r>
              <w:t xml:space="preserve">к Государственной </w:t>
            </w:r>
            <w:r>
              <w:br/>
              <w:t xml:space="preserve">программе развития </w:t>
            </w:r>
            <w:r>
              <w:br/>
              <w:t xml:space="preserve">охотничьего хозяйства </w:t>
            </w:r>
            <w:r>
              <w:br/>
              <w:t>на 2016–2020 годы</w:t>
            </w:r>
          </w:p>
        </w:tc>
      </w:tr>
    </w:tbl>
    <w:p w:rsidR="00FD67C2" w:rsidRDefault="00FD67C2">
      <w:pPr>
        <w:pStyle w:val="titlep"/>
        <w:jc w:val="left"/>
      </w:pPr>
      <w:r>
        <w:t>Технические показатели Государственной программы развития охотничьего хозяйства на 2016–2020 годы</w:t>
      </w:r>
    </w:p>
    <w:tbl>
      <w:tblPr>
        <w:tblStyle w:val="tablencpi"/>
        <w:tblW w:w="5000" w:type="pct"/>
        <w:tblLook w:val="04A0"/>
      </w:tblPr>
      <w:tblGrid>
        <w:gridCol w:w="3008"/>
        <w:gridCol w:w="3299"/>
        <w:gridCol w:w="1908"/>
        <w:gridCol w:w="1398"/>
        <w:gridCol w:w="1207"/>
        <w:gridCol w:w="1207"/>
        <w:gridCol w:w="1398"/>
        <w:gridCol w:w="1398"/>
        <w:gridCol w:w="1398"/>
      </w:tblGrid>
      <w:tr w:rsidR="00FD67C2">
        <w:trPr>
          <w:trHeight w:val="238"/>
        </w:trPr>
        <w:tc>
          <w:tcPr>
            <w:tcW w:w="927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Наименование технических показателей</w:t>
            </w:r>
          </w:p>
        </w:tc>
        <w:tc>
          <w:tcPr>
            <w:tcW w:w="10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Заказчики</w:t>
            </w:r>
          </w:p>
        </w:tc>
        <w:tc>
          <w:tcPr>
            <w:tcW w:w="5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Единица измерения</w:t>
            </w:r>
          </w:p>
        </w:tc>
        <w:tc>
          <w:tcPr>
            <w:tcW w:w="24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Значение показателя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всего</w:t>
            </w:r>
          </w:p>
        </w:tc>
        <w:tc>
          <w:tcPr>
            <w:tcW w:w="203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в том числе по годам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2016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2017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2018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2019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FD67C2" w:rsidRDefault="00FD67C2">
            <w:pPr>
              <w:pStyle w:val="table10"/>
              <w:jc w:val="center"/>
            </w:pPr>
            <w:r>
              <w:t>2020</w:t>
            </w:r>
          </w:p>
        </w:tc>
      </w:tr>
      <w:tr w:rsidR="00FD67C2">
        <w:trPr>
          <w:trHeight w:val="238"/>
        </w:trPr>
        <w:tc>
          <w:tcPr>
            <w:tcW w:w="927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1. Соотношение фактической численности охотничьих животных и их оптимальной численности:</w:t>
            </w:r>
          </w:p>
        </w:tc>
        <w:tc>
          <w:tcPr>
            <w:tcW w:w="1017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облисполкомы, Минлесхоз</w:t>
            </w:r>
          </w:p>
        </w:tc>
        <w:tc>
          <w:tcPr>
            <w:tcW w:w="588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процентов</w:t>
            </w:r>
          </w:p>
        </w:tc>
        <w:tc>
          <w:tcPr>
            <w:tcW w:w="431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72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72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431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431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431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</w:tr>
      <w:tr w:rsidR="00FD67C2">
        <w:trPr>
          <w:trHeight w:val="238"/>
        </w:trPr>
        <w:tc>
          <w:tcPr>
            <w:tcW w:w="92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лось</w:t>
            </w:r>
          </w:p>
        </w:tc>
        <w:tc>
          <w:tcPr>
            <w:tcW w:w="101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58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77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85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93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100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100</w:t>
            </w:r>
          </w:p>
        </w:tc>
      </w:tr>
      <w:tr w:rsidR="00FD67C2">
        <w:trPr>
          <w:trHeight w:val="238"/>
        </w:trPr>
        <w:tc>
          <w:tcPr>
            <w:tcW w:w="92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олень благородный</w:t>
            </w:r>
          </w:p>
        </w:tc>
        <w:tc>
          <w:tcPr>
            <w:tcW w:w="101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58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17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19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21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23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25</w:t>
            </w:r>
          </w:p>
        </w:tc>
      </w:tr>
      <w:tr w:rsidR="00FD67C2">
        <w:trPr>
          <w:trHeight w:val="238"/>
        </w:trPr>
        <w:tc>
          <w:tcPr>
            <w:tcW w:w="92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косуля</w:t>
            </w:r>
          </w:p>
        </w:tc>
        <w:tc>
          <w:tcPr>
            <w:tcW w:w="101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58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49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51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53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55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57</w:t>
            </w:r>
          </w:p>
        </w:tc>
      </w:tr>
      <w:tr w:rsidR="00FD67C2">
        <w:trPr>
          <w:trHeight w:val="238"/>
        </w:trPr>
        <w:tc>
          <w:tcPr>
            <w:tcW w:w="92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2. Количество граждан, приобретающих право на охоту</w:t>
            </w:r>
          </w:p>
        </w:tc>
        <w:tc>
          <w:tcPr>
            <w:tcW w:w="101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Минлесхоз</w:t>
            </w:r>
          </w:p>
        </w:tc>
        <w:tc>
          <w:tcPr>
            <w:tcW w:w="58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человек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13 100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2 000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2 200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2 500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2 900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3 500</w:t>
            </w:r>
          </w:p>
        </w:tc>
      </w:tr>
      <w:tr w:rsidR="00FD67C2">
        <w:trPr>
          <w:trHeight w:val="238"/>
        </w:trPr>
        <w:tc>
          <w:tcPr>
            <w:tcW w:w="927" w:type="pct"/>
            <w:vMerge w:val="restar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3. Поступления в бюджет от уплаты государственной пошлины за предоставление права на охоту</w:t>
            </w:r>
          </w:p>
        </w:tc>
        <w:tc>
          <w:tcPr>
            <w:tcW w:w="101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Минлесхоз, облисполкомы, Минский горисполком</w:t>
            </w:r>
          </w:p>
        </w:tc>
        <w:tc>
          <w:tcPr>
            <w:tcW w:w="58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млн. рублей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59 480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8 000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9 600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11 510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13 800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16 570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101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в том числе:</w:t>
            </w:r>
          </w:p>
        </w:tc>
        <w:tc>
          <w:tcPr>
            <w:tcW w:w="58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101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Брестская область</w:t>
            </w:r>
          </w:p>
        </w:tc>
        <w:tc>
          <w:tcPr>
            <w:tcW w:w="58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9 650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1 300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1 560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1 870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2 240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2 680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101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Витебская область</w:t>
            </w:r>
          </w:p>
        </w:tc>
        <w:tc>
          <w:tcPr>
            <w:tcW w:w="58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9 650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1 300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1 560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1 870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2 240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2 680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101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Гомельская область</w:t>
            </w:r>
          </w:p>
        </w:tc>
        <w:tc>
          <w:tcPr>
            <w:tcW w:w="58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8 940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1 200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1 440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1 720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2 080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2 500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101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Гродненская область</w:t>
            </w:r>
          </w:p>
        </w:tc>
        <w:tc>
          <w:tcPr>
            <w:tcW w:w="58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6 710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900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1 080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1 300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1 560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1 870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101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Минская область</w:t>
            </w:r>
          </w:p>
        </w:tc>
        <w:tc>
          <w:tcPr>
            <w:tcW w:w="58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9 650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1 300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1 560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1 870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2 240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2 680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101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Могилевская область</w:t>
            </w:r>
          </w:p>
        </w:tc>
        <w:tc>
          <w:tcPr>
            <w:tcW w:w="58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7 440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1 000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1 200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1 440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1 720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2 080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101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г. Минск</w:t>
            </w:r>
          </w:p>
        </w:tc>
        <w:tc>
          <w:tcPr>
            <w:tcW w:w="58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7 440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1 000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1 200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1 440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1 720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2 080</w:t>
            </w:r>
          </w:p>
        </w:tc>
      </w:tr>
      <w:tr w:rsidR="00FD67C2">
        <w:trPr>
          <w:trHeight w:val="238"/>
        </w:trPr>
        <w:tc>
          <w:tcPr>
            <w:tcW w:w="927" w:type="pct"/>
            <w:vMerge w:val="restar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4. Поступления в бюджет от уплаты арендной платы</w:t>
            </w:r>
          </w:p>
        </w:tc>
        <w:tc>
          <w:tcPr>
            <w:tcW w:w="101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облисполкомы</w:t>
            </w:r>
          </w:p>
        </w:tc>
        <w:tc>
          <w:tcPr>
            <w:tcW w:w="58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»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18 900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2 800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3 000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3 600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4 300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5 200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101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в том числе:</w:t>
            </w:r>
          </w:p>
        </w:tc>
        <w:tc>
          <w:tcPr>
            <w:tcW w:w="58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 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101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Брестская область</w:t>
            </w:r>
          </w:p>
        </w:tc>
        <w:tc>
          <w:tcPr>
            <w:tcW w:w="58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3 200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500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500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600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700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900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101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Витебская область</w:t>
            </w:r>
          </w:p>
        </w:tc>
        <w:tc>
          <w:tcPr>
            <w:tcW w:w="58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4 100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600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700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800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900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1 100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101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Гомельская область</w:t>
            </w:r>
          </w:p>
        </w:tc>
        <w:tc>
          <w:tcPr>
            <w:tcW w:w="58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2 500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300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300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500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600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800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101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Гродненская область</w:t>
            </w:r>
          </w:p>
        </w:tc>
        <w:tc>
          <w:tcPr>
            <w:tcW w:w="58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2 200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300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400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400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500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600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101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Минская область</w:t>
            </w:r>
          </w:p>
        </w:tc>
        <w:tc>
          <w:tcPr>
            <w:tcW w:w="58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3 800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600</w:t>
            </w:r>
          </w:p>
        </w:tc>
        <w:tc>
          <w:tcPr>
            <w:tcW w:w="37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600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700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900</w:t>
            </w:r>
          </w:p>
        </w:tc>
        <w:tc>
          <w:tcPr>
            <w:tcW w:w="43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1 000</w:t>
            </w:r>
          </w:p>
        </w:tc>
      </w:tr>
      <w:tr w:rsidR="00FD67C2">
        <w:trPr>
          <w:trHeight w:val="238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FD67C2" w:rsidRDefault="00FD67C2">
            <w:pPr>
              <w:rPr>
                <w:rFonts w:eastAsiaTheme="minorEastAsia"/>
              </w:rPr>
            </w:pPr>
          </w:p>
        </w:tc>
        <w:tc>
          <w:tcPr>
            <w:tcW w:w="1017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ind w:left="284"/>
            </w:pPr>
            <w:r>
              <w:t>Могилевская область</w:t>
            </w:r>
          </w:p>
        </w:tc>
        <w:tc>
          <w:tcPr>
            <w:tcW w:w="588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431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3 100</w:t>
            </w:r>
          </w:p>
        </w:tc>
        <w:tc>
          <w:tcPr>
            <w:tcW w:w="37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500</w:t>
            </w:r>
          </w:p>
        </w:tc>
        <w:tc>
          <w:tcPr>
            <w:tcW w:w="37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500</w:t>
            </w:r>
          </w:p>
        </w:tc>
        <w:tc>
          <w:tcPr>
            <w:tcW w:w="431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600</w:t>
            </w:r>
          </w:p>
        </w:tc>
        <w:tc>
          <w:tcPr>
            <w:tcW w:w="431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700</w:t>
            </w:r>
          </w:p>
        </w:tc>
        <w:tc>
          <w:tcPr>
            <w:tcW w:w="431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FD67C2" w:rsidRDefault="00FD67C2">
            <w:pPr>
              <w:pStyle w:val="table10"/>
              <w:spacing w:before="120"/>
              <w:jc w:val="center"/>
            </w:pPr>
            <w:r>
              <w:t>800</w:t>
            </w:r>
          </w:p>
        </w:tc>
      </w:tr>
    </w:tbl>
    <w:p w:rsidR="00FD67C2" w:rsidRDefault="00FD67C2">
      <w:pPr>
        <w:pStyle w:val="newncpi"/>
      </w:pPr>
      <w:r>
        <w:t> </w:t>
      </w:r>
    </w:p>
    <w:p w:rsidR="005E1B02" w:rsidRDefault="005E1B02"/>
    <w:sectPr w:rsidR="005E1B02" w:rsidSect="00FD67C2">
      <w:pgSz w:w="16838" w:h="11906" w:orient="landscape"/>
      <w:pgMar w:top="567" w:right="289" w:bottom="567" w:left="340" w:header="560" w:footer="709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67C2" w:rsidRDefault="00FD67C2" w:rsidP="00FD67C2">
      <w:pPr>
        <w:spacing w:after="0" w:line="240" w:lineRule="auto"/>
      </w:pPr>
      <w:r>
        <w:separator/>
      </w:r>
    </w:p>
  </w:endnote>
  <w:endnote w:type="continuationSeparator" w:id="0">
    <w:p w:rsidR="00FD67C2" w:rsidRDefault="00FD67C2" w:rsidP="00FD6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7C2" w:rsidRDefault="00FD67C2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7C2" w:rsidRDefault="00FD67C2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900"/>
      <w:gridCol w:w="7202"/>
      <w:gridCol w:w="1500"/>
    </w:tblGrid>
    <w:tr w:rsidR="00FD67C2" w:rsidTr="00FD67C2">
      <w:tblPrEx>
        <w:tblCellMar>
          <w:top w:w="0" w:type="dxa"/>
          <w:bottom w:w="0" w:type="dxa"/>
        </w:tblCellMar>
      </w:tblPrEx>
      <w:trPr>
        <w:trHeight w:val="400"/>
      </w:trPr>
      <w:tc>
        <w:tcPr>
          <w:tcW w:w="900" w:type="dxa"/>
          <w:vMerge w:val="restart"/>
          <w:tcBorders>
            <w:top w:val="single" w:sz="4" w:space="0" w:color="auto"/>
          </w:tcBorders>
          <w:shd w:val="clear" w:color="auto" w:fill="auto"/>
        </w:tcPr>
        <w:p w:rsidR="00FD67C2" w:rsidRDefault="00FD67C2">
          <w:pPr>
            <w:pStyle w:val="a7"/>
          </w:pPr>
          <w:r>
            <w:rPr>
              <w:noProof/>
              <w:lang w:eastAsia="ru-RU"/>
            </w:rPr>
            <w:drawing>
              <wp:inline distT="0" distB="0" distL="0" distR="0">
                <wp:extent cx="333375" cy="438150"/>
                <wp:effectExtent l="19050" t="0" r="9525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3375" cy="4381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02" w:type="dxa"/>
          <w:tcBorders>
            <w:top w:val="single" w:sz="4" w:space="0" w:color="auto"/>
          </w:tcBorders>
          <w:shd w:val="clear" w:color="auto" w:fill="auto"/>
        </w:tcPr>
        <w:p w:rsidR="00FD67C2" w:rsidRPr="00FD67C2" w:rsidRDefault="00FD67C2">
          <w:pPr>
            <w:pStyle w:val="a7"/>
            <w:rPr>
              <w:rFonts w:ascii="Times New Roman" w:hAnsi="Times New Roman" w:cs="Times New Roman"/>
              <w:sz w:val="24"/>
            </w:rPr>
          </w:pPr>
          <w:r>
            <w:rPr>
              <w:rFonts w:ascii="Times New Roman" w:hAnsi="Times New Roman" w:cs="Times New Roman"/>
              <w:sz w:val="24"/>
            </w:rPr>
            <w:t>ИПС «ЭТАЛОН» версия 6.6</w:t>
          </w:r>
        </w:p>
      </w:tc>
      <w:tc>
        <w:tcPr>
          <w:tcW w:w="1500" w:type="dxa"/>
          <w:tcBorders>
            <w:top w:val="single" w:sz="4" w:space="0" w:color="auto"/>
          </w:tcBorders>
          <w:shd w:val="clear" w:color="auto" w:fill="auto"/>
        </w:tcPr>
        <w:p w:rsidR="00FD67C2" w:rsidRPr="00FD67C2" w:rsidRDefault="00FD67C2" w:rsidP="00FD67C2">
          <w:pPr>
            <w:pStyle w:val="a7"/>
            <w:jc w:val="right"/>
            <w:rPr>
              <w:rFonts w:ascii="Times New Roman" w:hAnsi="Times New Roman" w:cs="Times New Roman"/>
              <w:sz w:val="24"/>
            </w:rPr>
          </w:pPr>
          <w:r>
            <w:rPr>
              <w:rFonts w:ascii="Times New Roman" w:hAnsi="Times New Roman" w:cs="Times New Roman"/>
              <w:sz w:val="24"/>
            </w:rPr>
            <w:t>24.04.2015</w:t>
          </w:r>
        </w:p>
      </w:tc>
    </w:tr>
    <w:tr w:rsidR="00FD67C2" w:rsidTr="00FD67C2">
      <w:tblPrEx>
        <w:tblCellMar>
          <w:top w:w="0" w:type="dxa"/>
          <w:bottom w:w="0" w:type="dxa"/>
        </w:tblCellMar>
      </w:tblPrEx>
      <w:tc>
        <w:tcPr>
          <w:tcW w:w="900" w:type="dxa"/>
          <w:vMerge/>
        </w:tcPr>
        <w:p w:rsidR="00FD67C2" w:rsidRDefault="00FD67C2">
          <w:pPr>
            <w:pStyle w:val="a7"/>
          </w:pPr>
        </w:p>
      </w:tc>
      <w:tc>
        <w:tcPr>
          <w:tcW w:w="7202" w:type="dxa"/>
        </w:tcPr>
        <w:p w:rsidR="00FD67C2" w:rsidRPr="00FD67C2" w:rsidRDefault="00FD67C2">
          <w:pPr>
            <w:pStyle w:val="a7"/>
            <w:rPr>
              <w:rFonts w:ascii="Times New Roman" w:hAnsi="Times New Roman" w:cs="Times New Roman"/>
              <w:i/>
              <w:sz w:val="24"/>
            </w:rPr>
          </w:pPr>
          <w:r>
            <w:rPr>
              <w:rFonts w:ascii="Times New Roman" w:hAnsi="Times New Roman" w:cs="Times New Roman"/>
              <w:i/>
              <w:sz w:val="24"/>
            </w:rPr>
            <w:t>Национальный центр правовой информации Республики Беларусь</w:t>
          </w:r>
        </w:p>
      </w:tc>
      <w:tc>
        <w:tcPr>
          <w:tcW w:w="1500" w:type="dxa"/>
        </w:tcPr>
        <w:p w:rsidR="00FD67C2" w:rsidRDefault="00FD67C2">
          <w:pPr>
            <w:pStyle w:val="a7"/>
          </w:pPr>
        </w:p>
      </w:tc>
    </w:tr>
  </w:tbl>
  <w:p w:rsidR="00FD67C2" w:rsidRDefault="00FD67C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67C2" w:rsidRDefault="00FD67C2" w:rsidP="00FD67C2">
      <w:pPr>
        <w:spacing w:after="0" w:line="240" w:lineRule="auto"/>
      </w:pPr>
      <w:r>
        <w:separator/>
      </w:r>
    </w:p>
  </w:footnote>
  <w:footnote w:type="continuationSeparator" w:id="0">
    <w:p w:rsidR="00FD67C2" w:rsidRDefault="00FD67C2" w:rsidP="00FD67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7C2" w:rsidRDefault="00FD67C2" w:rsidP="00B34A18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D67C2" w:rsidRDefault="00FD67C2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7C2" w:rsidRPr="00FD67C2" w:rsidRDefault="00FD67C2" w:rsidP="00B34A18">
    <w:pPr>
      <w:pStyle w:val="a5"/>
      <w:framePr w:wrap="around" w:vAnchor="text" w:hAnchor="margin" w:xAlign="center" w:y="1"/>
      <w:rPr>
        <w:rStyle w:val="a9"/>
        <w:rFonts w:ascii="Times New Roman" w:hAnsi="Times New Roman" w:cs="Times New Roman"/>
        <w:sz w:val="24"/>
      </w:rPr>
    </w:pPr>
    <w:r w:rsidRPr="00FD67C2">
      <w:rPr>
        <w:rStyle w:val="a9"/>
        <w:rFonts w:ascii="Times New Roman" w:hAnsi="Times New Roman" w:cs="Times New Roman"/>
        <w:sz w:val="24"/>
      </w:rPr>
      <w:fldChar w:fldCharType="begin"/>
    </w:r>
    <w:r w:rsidRPr="00FD67C2">
      <w:rPr>
        <w:rStyle w:val="a9"/>
        <w:rFonts w:ascii="Times New Roman" w:hAnsi="Times New Roman" w:cs="Times New Roman"/>
        <w:sz w:val="24"/>
      </w:rPr>
      <w:instrText xml:space="preserve">PAGE  </w:instrText>
    </w:r>
    <w:r w:rsidRPr="00FD67C2">
      <w:rPr>
        <w:rStyle w:val="a9"/>
        <w:rFonts w:ascii="Times New Roman" w:hAnsi="Times New Roman" w:cs="Times New Roman"/>
        <w:sz w:val="24"/>
      </w:rPr>
      <w:fldChar w:fldCharType="separate"/>
    </w:r>
    <w:r>
      <w:rPr>
        <w:rStyle w:val="a9"/>
        <w:rFonts w:ascii="Times New Roman" w:hAnsi="Times New Roman" w:cs="Times New Roman"/>
        <w:noProof/>
        <w:sz w:val="24"/>
      </w:rPr>
      <w:t>11</w:t>
    </w:r>
    <w:r w:rsidRPr="00FD67C2">
      <w:rPr>
        <w:rStyle w:val="a9"/>
        <w:rFonts w:ascii="Times New Roman" w:hAnsi="Times New Roman" w:cs="Times New Roman"/>
        <w:sz w:val="24"/>
      </w:rPr>
      <w:fldChar w:fldCharType="end"/>
    </w:r>
  </w:p>
  <w:p w:rsidR="00FD67C2" w:rsidRPr="00FD67C2" w:rsidRDefault="00FD67C2">
    <w:pPr>
      <w:pStyle w:val="a5"/>
      <w:rPr>
        <w:rFonts w:ascii="Times New Roman" w:hAnsi="Times New Roman" w:cs="Times New Roman"/>
        <w:sz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7C2" w:rsidRDefault="00FD67C2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revisionView w:markup="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67C2"/>
    <w:rsid w:val="00000BE0"/>
    <w:rsid w:val="000D4171"/>
    <w:rsid w:val="005E1B02"/>
    <w:rsid w:val="0071627E"/>
    <w:rsid w:val="009A2E6D"/>
    <w:rsid w:val="00B6589A"/>
    <w:rsid w:val="00D83CFF"/>
    <w:rsid w:val="00E57ACE"/>
    <w:rsid w:val="00FC7DC4"/>
    <w:rsid w:val="00FD67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B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D67C2"/>
    <w:rPr>
      <w:color w:val="154C94"/>
      <w:u w:val="single"/>
    </w:rPr>
  </w:style>
  <w:style w:type="character" w:styleId="a4">
    <w:name w:val="FollowedHyperlink"/>
    <w:basedOn w:val="a0"/>
    <w:uiPriority w:val="99"/>
    <w:semiHidden/>
    <w:unhideWhenUsed/>
    <w:rsid w:val="00FD67C2"/>
    <w:rPr>
      <w:color w:val="154C94"/>
      <w:u w:val="single"/>
    </w:rPr>
  </w:style>
  <w:style w:type="paragraph" w:customStyle="1" w:styleId="part">
    <w:name w:val="part"/>
    <w:basedOn w:val="a"/>
    <w:rsid w:val="00FD67C2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caps/>
      <w:sz w:val="24"/>
      <w:szCs w:val="24"/>
      <w:lang w:eastAsia="ru-RU"/>
    </w:rPr>
  </w:style>
  <w:style w:type="paragraph" w:customStyle="1" w:styleId="article">
    <w:name w:val="article"/>
    <w:basedOn w:val="a"/>
    <w:rsid w:val="00FD67C2"/>
    <w:pPr>
      <w:spacing w:before="240" w:after="240" w:line="240" w:lineRule="auto"/>
      <w:ind w:left="1922" w:hanging="1355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title">
    <w:name w:val="title"/>
    <w:basedOn w:val="a"/>
    <w:rsid w:val="00FD67C2"/>
    <w:pPr>
      <w:spacing w:before="240" w:after="240" w:line="240" w:lineRule="auto"/>
      <w:ind w:right="2268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titlencpi">
    <w:name w:val="titlencpi"/>
    <w:basedOn w:val="a"/>
    <w:rsid w:val="00FD67C2"/>
    <w:pPr>
      <w:spacing w:before="240" w:after="240" w:line="240" w:lineRule="auto"/>
      <w:ind w:right="2268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spaper">
    <w:name w:val="aspaper"/>
    <w:basedOn w:val="a"/>
    <w:rsid w:val="00FD67C2"/>
    <w:pPr>
      <w:spacing w:after="0" w:line="240" w:lineRule="auto"/>
      <w:jc w:val="center"/>
    </w:pPr>
    <w:rPr>
      <w:rFonts w:ascii="Times New Roman" w:eastAsiaTheme="minorEastAsia" w:hAnsi="Times New Roman" w:cs="Times New Roman"/>
      <w:b/>
      <w:bCs/>
      <w:color w:val="FF0000"/>
      <w:sz w:val="24"/>
      <w:szCs w:val="24"/>
      <w:lang w:eastAsia="ru-RU"/>
    </w:rPr>
  </w:style>
  <w:style w:type="paragraph" w:customStyle="1" w:styleId="chapter">
    <w:name w:val="chapter"/>
    <w:basedOn w:val="a"/>
    <w:rsid w:val="00FD67C2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caps/>
      <w:sz w:val="24"/>
      <w:szCs w:val="24"/>
      <w:lang w:eastAsia="ru-RU"/>
    </w:rPr>
  </w:style>
  <w:style w:type="paragraph" w:customStyle="1" w:styleId="titleg">
    <w:name w:val="titleg"/>
    <w:basedOn w:val="a"/>
    <w:rsid w:val="00FD67C2"/>
    <w:pPr>
      <w:spacing w:after="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titlepr">
    <w:name w:val="titlepr"/>
    <w:basedOn w:val="a"/>
    <w:rsid w:val="00FD67C2"/>
    <w:pPr>
      <w:spacing w:after="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agree">
    <w:name w:val="agree"/>
    <w:basedOn w:val="a"/>
    <w:rsid w:val="00FD67C2"/>
    <w:pPr>
      <w:spacing w:after="28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razdel">
    <w:name w:val="razdel"/>
    <w:basedOn w:val="a"/>
    <w:rsid w:val="00FD67C2"/>
    <w:pPr>
      <w:spacing w:after="0" w:line="240" w:lineRule="auto"/>
      <w:ind w:firstLine="567"/>
      <w:jc w:val="center"/>
    </w:pPr>
    <w:rPr>
      <w:rFonts w:ascii="Times New Roman" w:eastAsiaTheme="minorEastAsia" w:hAnsi="Times New Roman" w:cs="Times New Roman"/>
      <w:b/>
      <w:bCs/>
      <w:caps/>
      <w:sz w:val="32"/>
      <w:szCs w:val="32"/>
      <w:lang w:eastAsia="ru-RU"/>
    </w:rPr>
  </w:style>
  <w:style w:type="paragraph" w:customStyle="1" w:styleId="podrazdel">
    <w:name w:val="podrazdel"/>
    <w:basedOn w:val="a"/>
    <w:rsid w:val="00FD67C2"/>
    <w:pPr>
      <w:spacing w:after="0" w:line="240" w:lineRule="auto"/>
      <w:jc w:val="center"/>
    </w:pPr>
    <w:rPr>
      <w:rFonts w:ascii="Times New Roman" w:eastAsiaTheme="minorEastAsia" w:hAnsi="Times New Roman" w:cs="Times New Roman"/>
      <w:b/>
      <w:bCs/>
      <w:caps/>
      <w:sz w:val="24"/>
      <w:szCs w:val="24"/>
      <w:lang w:eastAsia="ru-RU"/>
    </w:rPr>
  </w:style>
  <w:style w:type="paragraph" w:customStyle="1" w:styleId="titlep">
    <w:name w:val="titlep"/>
    <w:basedOn w:val="a"/>
    <w:rsid w:val="00FD67C2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FD67C2"/>
    <w:pPr>
      <w:spacing w:after="0" w:line="240" w:lineRule="auto"/>
      <w:jc w:val="right"/>
    </w:pPr>
    <w:rPr>
      <w:rFonts w:ascii="Times New Roman" w:eastAsiaTheme="minorEastAsia" w:hAnsi="Times New Roman" w:cs="Times New Roman"/>
      <w:lang w:eastAsia="ru-RU"/>
    </w:rPr>
  </w:style>
  <w:style w:type="paragraph" w:customStyle="1" w:styleId="titleu">
    <w:name w:val="titleu"/>
    <w:basedOn w:val="a"/>
    <w:rsid w:val="00FD67C2"/>
    <w:pPr>
      <w:spacing w:before="240" w:after="240" w:line="240" w:lineRule="auto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titlek">
    <w:name w:val="titlek"/>
    <w:basedOn w:val="a"/>
    <w:rsid w:val="00FD67C2"/>
    <w:pPr>
      <w:spacing w:before="240" w:after="0" w:line="240" w:lineRule="auto"/>
      <w:jc w:val="center"/>
    </w:pPr>
    <w:rPr>
      <w:rFonts w:ascii="Times New Roman" w:eastAsiaTheme="minorEastAsia" w:hAnsi="Times New Roman" w:cs="Times New Roman"/>
      <w:caps/>
      <w:sz w:val="24"/>
      <w:szCs w:val="24"/>
      <w:lang w:eastAsia="ru-RU"/>
    </w:rPr>
  </w:style>
  <w:style w:type="paragraph" w:customStyle="1" w:styleId="izvlechen">
    <w:name w:val="izvlechen"/>
    <w:basedOn w:val="a"/>
    <w:rsid w:val="00FD67C2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point">
    <w:name w:val="point"/>
    <w:basedOn w:val="a"/>
    <w:rsid w:val="00FD67C2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underpoint">
    <w:name w:val="underpoint"/>
    <w:basedOn w:val="a"/>
    <w:rsid w:val="00FD67C2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igned">
    <w:name w:val="signed"/>
    <w:basedOn w:val="a"/>
    <w:rsid w:val="00FD67C2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odobren">
    <w:name w:val="odobren"/>
    <w:basedOn w:val="a"/>
    <w:rsid w:val="00FD67C2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odobren1">
    <w:name w:val="odobren1"/>
    <w:basedOn w:val="a"/>
    <w:rsid w:val="00FD67C2"/>
    <w:pPr>
      <w:spacing w:after="12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comment">
    <w:name w:val="comment"/>
    <w:basedOn w:val="a"/>
    <w:rsid w:val="00FD67C2"/>
    <w:pPr>
      <w:spacing w:after="0" w:line="240" w:lineRule="auto"/>
      <w:ind w:firstLine="709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preamble">
    <w:name w:val="preamble"/>
    <w:basedOn w:val="a"/>
    <w:rsid w:val="00FD67C2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noski">
    <w:name w:val="snoski"/>
    <w:basedOn w:val="a"/>
    <w:rsid w:val="00FD67C2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snoskiline">
    <w:name w:val="snoskiline"/>
    <w:basedOn w:val="a"/>
    <w:rsid w:val="00FD67C2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paragraph">
    <w:name w:val="paragraph"/>
    <w:basedOn w:val="a"/>
    <w:rsid w:val="00FD67C2"/>
    <w:pPr>
      <w:spacing w:before="240" w:after="240" w:line="240" w:lineRule="auto"/>
      <w:ind w:firstLine="567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table10">
    <w:name w:val="table10"/>
    <w:basedOn w:val="a"/>
    <w:rsid w:val="00FD67C2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numnrpa">
    <w:name w:val="numnrpa"/>
    <w:basedOn w:val="a"/>
    <w:rsid w:val="00FD67C2"/>
    <w:pPr>
      <w:spacing w:after="0" w:line="240" w:lineRule="auto"/>
    </w:pPr>
    <w:rPr>
      <w:rFonts w:ascii="Times New Roman" w:eastAsiaTheme="minorEastAsia" w:hAnsi="Times New Roman" w:cs="Times New Roman"/>
      <w:sz w:val="36"/>
      <w:szCs w:val="36"/>
      <w:lang w:eastAsia="ru-RU"/>
    </w:rPr>
  </w:style>
  <w:style w:type="paragraph" w:customStyle="1" w:styleId="append">
    <w:name w:val="append"/>
    <w:basedOn w:val="a"/>
    <w:rsid w:val="00FD67C2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prinodobren">
    <w:name w:val="prinodobren"/>
    <w:basedOn w:val="a"/>
    <w:rsid w:val="00FD67C2"/>
    <w:pPr>
      <w:spacing w:before="240" w:after="240" w:line="240" w:lineRule="auto"/>
    </w:pPr>
    <w:rPr>
      <w:rFonts w:ascii="Times New Roman" w:eastAsiaTheme="minorEastAsia" w:hAnsi="Times New Roman" w:cs="Times New Roman"/>
      <w:i/>
      <w:iCs/>
      <w:sz w:val="24"/>
      <w:szCs w:val="24"/>
      <w:lang w:eastAsia="ru-RU"/>
    </w:rPr>
  </w:style>
  <w:style w:type="paragraph" w:customStyle="1" w:styleId="spiski">
    <w:name w:val="spiski"/>
    <w:basedOn w:val="a"/>
    <w:rsid w:val="00FD67C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onumheader">
    <w:name w:val="nonumheader"/>
    <w:basedOn w:val="a"/>
    <w:rsid w:val="00FD67C2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numheader">
    <w:name w:val="numheader"/>
    <w:basedOn w:val="a"/>
    <w:rsid w:val="00FD67C2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agreefio">
    <w:name w:val="agreefio"/>
    <w:basedOn w:val="a"/>
    <w:rsid w:val="00FD67C2"/>
    <w:pPr>
      <w:spacing w:after="0" w:line="240" w:lineRule="auto"/>
      <w:ind w:firstLine="1021"/>
      <w:jc w:val="both"/>
    </w:pPr>
    <w:rPr>
      <w:rFonts w:ascii="Times New Roman" w:eastAsiaTheme="minorEastAsia" w:hAnsi="Times New Roman" w:cs="Times New Roman"/>
      <w:lang w:eastAsia="ru-RU"/>
    </w:rPr>
  </w:style>
  <w:style w:type="paragraph" w:customStyle="1" w:styleId="agreedate">
    <w:name w:val="agreedate"/>
    <w:basedOn w:val="a"/>
    <w:rsid w:val="00FD67C2"/>
    <w:pPr>
      <w:spacing w:after="0" w:line="240" w:lineRule="auto"/>
      <w:jc w:val="both"/>
    </w:pPr>
    <w:rPr>
      <w:rFonts w:ascii="Times New Roman" w:eastAsiaTheme="minorEastAsia" w:hAnsi="Times New Roman" w:cs="Times New Roman"/>
      <w:lang w:eastAsia="ru-RU"/>
    </w:rPr>
  </w:style>
  <w:style w:type="paragraph" w:customStyle="1" w:styleId="changeadd">
    <w:name w:val="changeadd"/>
    <w:basedOn w:val="a"/>
    <w:rsid w:val="00FD67C2"/>
    <w:pPr>
      <w:spacing w:after="0" w:line="240" w:lineRule="auto"/>
      <w:ind w:left="1134"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hangei">
    <w:name w:val="changei"/>
    <w:basedOn w:val="a"/>
    <w:rsid w:val="00FD67C2"/>
    <w:pPr>
      <w:spacing w:after="0" w:line="240" w:lineRule="auto"/>
      <w:ind w:left="1021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hangeutrs">
    <w:name w:val="changeutrs"/>
    <w:basedOn w:val="a"/>
    <w:rsid w:val="00FD67C2"/>
    <w:pPr>
      <w:spacing w:after="240" w:line="240" w:lineRule="auto"/>
      <w:ind w:left="113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ngeold">
    <w:name w:val="changeold"/>
    <w:basedOn w:val="a"/>
    <w:rsid w:val="00FD67C2"/>
    <w:pPr>
      <w:spacing w:before="240" w:after="240" w:line="240" w:lineRule="auto"/>
      <w:ind w:firstLine="567"/>
      <w:jc w:val="center"/>
    </w:pPr>
    <w:rPr>
      <w:rFonts w:ascii="Times New Roman" w:eastAsiaTheme="minorEastAsia" w:hAnsi="Times New Roman" w:cs="Times New Roman"/>
      <w:i/>
      <w:iCs/>
      <w:sz w:val="24"/>
      <w:szCs w:val="24"/>
      <w:lang w:eastAsia="ru-RU"/>
    </w:rPr>
  </w:style>
  <w:style w:type="paragraph" w:customStyle="1" w:styleId="append1">
    <w:name w:val="append1"/>
    <w:basedOn w:val="a"/>
    <w:rsid w:val="00FD67C2"/>
    <w:pPr>
      <w:spacing w:after="28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cap1">
    <w:name w:val="cap1"/>
    <w:basedOn w:val="a"/>
    <w:rsid w:val="00FD67C2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capu1">
    <w:name w:val="capu1"/>
    <w:basedOn w:val="a"/>
    <w:rsid w:val="00FD67C2"/>
    <w:pPr>
      <w:spacing w:after="12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newncpi">
    <w:name w:val="newncpi"/>
    <w:basedOn w:val="a"/>
    <w:rsid w:val="00FD67C2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FD67C2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1">
    <w:name w:val="newncpi1"/>
    <w:basedOn w:val="a"/>
    <w:rsid w:val="00FD67C2"/>
    <w:pPr>
      <w:spacing w:after="0" w:line="240" w:lineRule="auto"/>
      <w:ind w:left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edizmeren">
    <w:name w:val="edizmeren"/>
    <w:basedOn w:val="a"/>
    <w:rsid w:val="00FD67C2"/>
    <w:pPr>
      <w:spacing w:after="0" w:line="240" w:lineRule="auto"/>
      <w:jc w:val="right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zagrazdel">
    <w:name w:val="zagrazdel"/>
    <w:basedOn w:val="a"/>
    <w:rsid w:val="00FD67C2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caps/>
      <w:sz w:val="24"/>
      <w:szCs w:val="24"/>
      <w:lang w:eastAsia="ru-RU"/>
    </w:rPr>
  </w:style>
  <w:style w:type="paragraph" w:customStyle="1" w:styleId="placeprin">
    <w:name w:val="placeprin"/>
    <w:basedOn w:val="a"/>
    <w:rsid w:val="00FD67C2"/>
    <w:pPr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primer">
    <w:name w:val="primer"/>
    <w:basedOn w:val="a"/>
    <w:rsid w:val="00FD67C2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withpar">
    <w:name w:val="withpar"/>
    <w:basedOn w:val="a"/>
    <w:rsid w:val="00FD67C2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withoutpar">
    <w:name w:val="withoutpar"/>
    <w:basedOn w:val="a"/>
    <w:rsid w:val="00FD67C2"/>
    <w:pPr>
      <w:spacing w:after="6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undline">
    <w:name w:val="undline"/>
    <w:basedOn w:val="a"/>
    <w:rsid w:val="00FD67C2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underline">
    <w:name w:val="underline"/>
    <w:basedOn w:val="a"/>
    <w:rsid w:val="00FD67C2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ncpicomment">
    <w:name w:val="ncpicomment"/>
    <w:basedOn w:val="a"/>
    <w:rsid w:val="00FD67C2"/>
    <w:pPr>
      <w:spacing w:before="120" w:after="0" w:line="240" w:lineRule="auto"/>
      <w:ind w:left="1134"/>
      <w:jc w:val="both"/>
    </w:pPr>
    <w:rPr>
      <w:rFonts w:ascii="Times New Roman" w:eastAsiaTheme="minorEastAsia" w:hAnsi="Times New Roman" w:cs="Times New Roman"/>
      <w:i/>
      <w:iCs/>
      <w:sz w:val="24"/>
      <w:szCs w:val="24"/>
      <w:lang w:eastAsia="ru-RU"/>
    </w:rPr>
  </w:style>
  <w:style w:type="paragraph" w:customStyle="1" w:styleId="rekviziti">
    <w:name w:val="rekviziti"/>
    <w:basedOn w:val="a"/>
    <w:rsid w:val="00FD67C2"/>
    <w:pPr>
      <w:spacing w:after="0" w:line="240" w:lineRule="auto"/>
      <w:ind w:left="1134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cpidel">
    <w:name w:val="ncpidel"/>
    <w:basedOn w:val="a"/>
    <w:rsid w:val="00FD67C2"/>
    <w:pPr>
      <w:spacing w:after="0" w:line="240" w:lineRule="auto"/>
      <w:ind w:left="1134"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tsifra">
    <w:name w:val="tsifra"/>
    <w:basedOn w:val="a"/>
    <w:rsid w:val="00FD67C2"/>
    <w:pPr>
      <w:spacing w:after="0" w:line="240" w:lineRule="auto"/>
    </w:pPr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  <w:style w:type="paragraph" w:customStyle="1" w:styleId="articleintext">
    <w:name w:val="articleintext"/>
    <w:basedOn w:val="a"/>
    <w:rsid w:val="00FD67C2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v">
    <w:name w:val="newncpiv"/>
    <w:basedOn w:val="a"/>
    <w:rsid w:val="00FD67C2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i/>
      <w:iCs/>
      <w:sz w:val="24"/>
      <w:szCs w:val="24"/>
      <w:lang w:eastAsia="ru-RU"/>
    </w:rPr>
  </w:style>
  <w:style w:type="paragraph" w:customStyle="1" w:styleId="snoskiv">
    <w:name w:val="snoskiv"/>
    <w:basedOn w:val="a"/>
    <w:rsid w:val="00FD67C2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i/>
      <w:iCs/>
      <w:sz w:val="20"/>
      <w:szCs w:val="20"/>
      <w:lang w:eastAsia="ru-RU"/>
    </w:rPr>
  </w:style>
  <w:style w:type="paragraph" w:customStyle="1" w:styleId="articlev">
    <w:name w:val="articlev"/>
    <w:basedOn w:val="a"/>
    <w:rsid w:val="00FD67C2"/>
    <w:pPr>
      <w:spacing w:before="240" w:after="240" w:line="240" w:lineRule="auto"/>
      <w:ind w:firstLine="567"/>
    </w:pPr>
    <w:rPr>
      <w:rFonts w:ascii="Times New Roman" w:eastAsiaTheme="minorEastAsia" w:hAnsi="Times New Roman" w:cs="Times New Roman"/>
      <w:i/>
      <w:iCs/>
      <w:sz w:val="24"/>
      <w:szCs w:val="24"/>
      <w:lang w:eastAsia="ru-RU"/>
    </w:rPr>
  </w:style>
  <w:style w:type="paragraph" w:customStyle="1" w:styleId="contentword">
    <w:name w:val="contentword"/>
    <w:basedOn w:val="a"/>
    <w:rsid w:val="00FD67C2"/>
    <w:pPr>
      <w:spacing w:before="240" w:after="240" w:line="240" w:lineRule="auto"/>
      <w:ind w:firstLine="567"/>
      <w:jc w:val="center"/>
    </w:pPr>
    <w:rPr>
      <w:rFonts w:ascii="Times New Roman" w:eastAsiaTheme="minorEastAsia" w:hAnsi="Times New Roman" w:cs="Times New Roman"/>
      <w:caps/>
      <w:lang w:eastAsia="ru-RU"/>
    </w:rPr>
  </w:style>
  <w:style w:type="paragraph" w:customStyle="1" w:styleId="contenttext">
    <w:name w:val="contenttext"/>
    <w:basedOn w:val="a"/>
    <w:rsid w:val="00FD67C2"/>
    <w:pPr>
      <w:spacing w:after="0" w:line="240" w:lineRule="auto"/>
      <w:ind w:left="1134" w:hanging="1134"/>
    </w:pPr>
    <w:rPr>
      <w:rFonts w:ascii="Times New Roman" w:eastAsiaTheme="minorEastAsia" w:hAnsi="Times New Roman" w:cs="Times New Roman"/>
      <w:lang w:eastAsia="ru-RU"/>
    </w:rPr>
  </w:style>
  <w:style w:type="paragraph" w:customStyle="1" w:styleId="gosreg">
    <w:name w:val="gosreg"/>
    <w:basedOn w:val="a"/>
    <w:rsid w:val="00FD67C2"/>
    <w:pPr>
      <w:spacing w:after="0" w:line="240" w:lineRule="auto"/>
      <w:jc w:val="both"/>
    </w:pPr>
    <w:rPr>
      <w:rFonts w:ascii="Times New Roman" w:eastAsiaTheme="minorEastAsia" w:hAnsi="Times New Roman" w:cs="Times New Roman"/>
      <w:i/>
      <w:iCs/>
      <w:sz w:val="20"/>
      <w:szCs w:val="20"/>
      <w:lang w:eastAsia="ru-RU"/>
    </w:rPr>
  </w:style>
  <w:style w:type="paragraph" w:customStyle="1" w:styleId="articlect">
    <w:name w:val="articlect"/>
    <w:basedOn w:val="a"/>
    <w:rsid w:val="00FD67C2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letter">
    <w:name w:val="letter"/>
    <w:basedOn w:val="a"/>
    <w:rsid w:val="00FD67C2"/>
    <w:pPr>
      <w:spacing w:before="240" w:after="24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recepient">
    <w:name w:val="recepient"/>
    <w:basedOn w:val="a"/>
    <w:rsid w:val="00FD67C2"/>
    <w:pPr>
      <w:spacing w:after="0" w:line="240" w:lineRule="auto"/>
      <w:ind w:left="5103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oklad">
    <w:name w:val="doklad"/>
    <w:basedOn w:val="a"/>
    <w:rsid w:val="00FD67C2"/>
    <w:pPr>
      <w:spacing w:after="0" w:line="240" w:lineRule="auto"/>
      <w:ind w:left="2835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onpaper">
    <w:name w:val="onpaper"/>
    <w:basedOn w:val="a"/>
    <w:rsid w:val="00FD67C2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i/>
      <w:iCs/>
      <w:sz w:val="20"/>
      <w:szCs w:val="20"/>
      <w:lang w:eastAsia="ru-RU"/>
    </w:rPr>
  </w:style>
  <w:style w:type="paragraph" w:customStyle="1" w:styleId="formula">
    <w:name w:val="formula"/>
    <w:basedOn w:val="a"/>
    <w:rsid w:val="00FD67C2"/>
    <w:pPr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tableblank">
    <w:name w:val="tableblank"/>
    <w:basedOn w:val="a"/>
    <w:rsid w:val="00FD67C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table9">
    <w:name w:val="table9"/>
    <w:basedOn w:val="a"/>
    <w:rsid w:val="00FD67C2"/>
    <w:pPr>
      <w:spacing w:after="0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table8">
    <w:name w:val="table8"/>
    <w:basedOn w:val="a"/>
    <w:rsid w:val="00FD67C2"/>
    <w:pPr>
      <w:spacing w:after="0" w:line="240" w:lineRule="auto"/>
    </w:pPr>
    <w:rPr>
      <w:rFonts w:ascii="Times New Roman" w:eastAsiaTheme="minorEastAsia" w:hAnsi="Times New Roman" w:cs="Times New Roman"/>
      <w:sz w:val="16"/>
      <w:szCs w:val="16"/>
      <w:lang w:eastAsia="ru-RU"/>
    </w:rPr>
  </w:style>
  <w:style w:type="paragraph" w:customStyle="1" w:styleId="table7">
    <w:name w:val="table7"/>
    <w:basedOn w:val="a"/>
    <w:rsid w:val="00FD67C2"/>
    <w:pPr>
      <w:spacing w:after="0" w:line="240" w:lineRule="auto"/>
    </w:pPr>
    <w:rPr>
      <w:rFonts w:ascii="Times New Roman" w:eastAsiaTheme="minorEastAsia" w:hAnsi="Times New Roman" w:cs="Times New Roman"/>
      <w:sz w:val="14"/>
      <w:szCs w:val="14"/>
      <w:lang w:eastAsia="ru-RU"/>
    </w:rPr>
  </w:style>
  <w:style w:type="paragraph" w:customStyle="1" w:styleId="begform">
    <w:name w:val="begform"/>
    <w:basedOn w:val="a"/>
    <w:rsid w:val="00FD67C2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endform">
    <w:name w:val="endform"/>
    <w:basedOn w:val="a"/>
    <w:rsid w:val="00FD67C2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name">
    <w:name w:val="name"/>
    <w:basedOn w:val="a0"/>
    <w:rsid w:val="00FD67C2"/>
    <w:rPr>
      <w:rFonts w:ascii="Times New Roman" w:hAnsi="Times New Roman" w:cs="Times New Roman" w:hint="default"/>
      <w:caps/>
    </w:rPr>
  </w:style>
  <w:style w:type="character" w:customStyle="1" w:styleId="promulgator">
    <w:name w:val="promulgator"/>
    <w:basedOn w:val="a0"/>
    <w:rsid w:val="00FD67C2"/>
    <w:rPr>
      <w:rFonts w:ascii="Times New Roman" w:hAnsi="Times New Roman" w:cs="Times New Roman" w:hint="default"/>
      <w:caps/>
    </w:rPr>
  </w:style>
  <w:style w:type="character" w:customStyle="1" w:styleId="datepr">
    <w:name w:val="datepr"/>
    <w:basedOn w:val="a0"/>
    <w:rsid w:val="00FD67C2"/>
    <w:rPr>
      <w:rFonts w:ascii="Times New Roman" w:hAnsi="Times New Roman" w:cs="Times New Roman" w:hint="default"/>
    </w:rPr>
  </w:style>
  <w:style w:type="character" w:customStyle="1" w:styleId="datecity">
    <w:name w:val="datecity"/>
    <w:basedOn w:val="a0"/>
    <w:rsid w:val="00FD67C2"/>
    <w:rPr>
      <w:rFonts w:ascii="Times New Roman" w:hAnsi="Times New Roman" w:cs="Times New Roman" w:hint="default"/>
      <w:sz w:val="24"/>
      <w:szCs w:val="24"/>
    </w:rPr>
  </w:style>
  <w:style w:type="character" w:customStyle="1" w:styleId="datereg">
    <w:name w:val="datereg"/>
    <w:basedOn w:val="a0"/>
    <w:rsid w:val="00FD67C2"/>
    <w:rPr>
      <w:rFonts w:ascii="Times New Roman" w:hAnsi="Times New Roman" w:cs="Times New Roman" w:hint="default"/>
    </w:rPr>
  </w:style>
  <w:style w:type="character" w:customStyle="1" w:styleId="number">
    <w:name w:val="number"/>
    <w:basedOn w:val="a0"/>
    <w:rsid w:val="00FD67C2"/>
    <w:rPr>
      <w:rFonts w:ascii="Times New Roman" w:hAnsi="Times New Roman" w:cs="Times New Roman" w:hint="default"/>
    </w:rPr>
  </w:style>
  <w:style w:type="character" w:customStyle="1" w:styleId="bigsimbol">
    <w:name w:val="bigsimbol"/>
    <w:basedOn w:val="a0"/>
    <w:rsid w:val="00FD67C2"/>
    <w:rPr>
      <w:rFonts w:ascii="Times New Roman" w:hAnsi="Times New Roman" w:cs="Times New Roman" w:hint="default"/>
      <w:caps/>
    </w:rPr>
  </w:style>
  <w:style w:type="character" w:customStyle="1" w:styleId="razr">
    <w:name w:val="razr"/>
    <w:basedOn w:val="a0"/>
    <w:rsid w:val="00FD67C2"/>
    <w:rPr>
      <w:rFonts w:ascii="Times New Roman" w:hAnsi="Times New Roman" w:cs="Times New Roman" w:hint="default"/>
      <w:spacing w:val="30"/>
    </w:rPr>
  </w:style>
  <w:style w:type="character" w:customStyle="1" w:styleId="onesymbol">
    <w:name w:val="onesymbol"/>
    <w:basedOn w:val="a0"/>
    <w:rsid w:val="00FD67C2"/>
    <w:rPr>
      <w:rFonts w:ascii="Symbol" w:hAnsi="Symbol" w:hint="default"/>
    </w:rPr>
  </w:style>
  <w:style w:type="character" w:customStyle="1" w:styleId="onewind3">
    <w:name w:val="onewind3"/>
    <w:basedOn w:val="a0"/>
    <w:rsid w:val="00FD67C2"/>
    <w:rPr>
      <w:rFonts w:ascii="Wingdings 3" w:hAnsi="Wingdings 3" w:hint="default"/>
    </w:rPr>
  </w:style>
  <w:style w:type="character" w:customStyle="1" w:styleId="onewind2">
    <w:name w:val="onewind2"/>
    <w:basedOn w:val="a0"/>
    <w:rsid w:val="00FD67C2"/>
    <w:rPr>
      <w:rFonts w:ascii="Wingdings 2" w:hAnsi="Wingdings 2" w:hint="default"/>
    </w:rPr>
  </w:style>
  <w:style w:type="character" w:customStyle="1" w:styleId="onewind">
    <w:name w:val="onewind"/>
    <w:basedOn w:val="a0"/>
    <w:rsid w:val="00FD67C2"/>
    <w:rPr>
      <w:rFonts w:ascii="Wingdings" w:hAnsi="Wingdings" w:hint="default"/>
    </w:rPr>
  </w:style>
  <w:style w:type="character" w:customStyle="1" w:styleId="rednoun">
    <w:name w:val="rednoun"/>
    <w:basedOn w:val="a0"/>
    <w:rsid w:val="00FD67C2"/>
  </w:style>
  <w:style w:type="character" w:customStyle="1" w:styleId="post">
    <w:name w:val="post"/>
    <w:basedOn w:val="a0"/>
    <w:rsid w:val="00FD67C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pers">
    <w:name w:val="pers"/>
    <w:basedOn w:val="a0"/>
    <w:rsid w:val="00FD67C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arabic">
    <w:name w:val="arabic"/>
    <w:basedOn w:val="a0"/>
    <w:rsid w:val="00FD67C2"/>
    <w:rPr>
      <w:rFonts w:ascii="Times New Roman" w:hAnsi="Times New Roman" w:cs="Times New Roman" w:hint="default"/>
    </w:rPr>
  </w:style>
  <w:style w:type="character" w:customStyle="1" w:styleId="articlec">
    <w:name w:val="articlec"/>
    <w:basedOn w:val="a0"/>
    <w:rsid w:val="00FD67C2"/>
    <w:rPr>
      <w:rFonts w:ascii="Times New Roman" w:hAnsi="Times New Roman" w:cs="Times New Roman" w:hint="default"/>
      <w:b/>
      <w:bCs/>
    </w:rPr>
  </w:style>
  <w:style w:type="character" w:customStyle="1" w:styleId="roman">
    <w:name w:val="roman"/>
    <w:basedOn w:val="a0"/>
    <w:rsid w:val="00FD67C2"/>
    <w:rPr>
      <w:rFonts w:ascii="Arial" w:hAnsi="Arial" w:cs="Arial" w:hint="default"/>
    </w:rPr>
  </w:style>
  <w:style w:type="table" w:customStyle="1" w:styleId="tablencpi">
    <w:name w:val="tablencpi"/>
    <w:basedOn w:val="a1"/>
    <w:rsid w:val="00FD67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FD67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D67C2"/>
  </w:style>
  <w:style w:type="paragraph" w:styleId="a7">
    <w:name w:val="footer"/>
    <w:basedOn w:val="a"/>
    <w:link w:val="a8"/>
    <w:uiPriority w:val="99"/>
    <w:semiHidden/>
    <w:unhideWhenUsed/>
    <w:rsid w:val="00FD67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D67C2"/>
  </w:style>
  <w:style w:type="character" w:styleId="a9">
    <w:name w:val="page number"/>
    <w:basedOn w:val="a0"/>
    <w:uiPriority w:val="99"/>
    <w:semiHidden/>
    <w:unhideWhenUsed/>
    <w:rsid w:val="00FD67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3451</Words>
  <Characters>21363</Characters>
  <Application>Microsoft Office Word</Application>
  <DocSecurity>0</DocSecurity>
  <Lines>1424</Lines>
  <Paragraphs>855</Paragraphs>
  <ScaleCrop>false</ScaleCrop>
  <Company/>
  <LinksUpToDate>false</LinksUpToDate>
  <CharactersWithSpaces>23959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Худовец Александр Николаевич</dc:creator>
  <cp:keywords/>
  <dc:description/>
  <cp:lastModifiedBy>Худовец Александр Николаевич</cp:lastModifiedBy>
  <cp:revision>1</cp:revision>
  <dcterms:created xsi:type="dcterms:W3CDTF">2015-04-24T12:12:00Z</dcterms:created>
  <dcterms:modified xsi:type="dcterms:W3CDTF">2015-04-24T12:13:00Z</dcterms:modified>
</cp:coreProperties>
</file>